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[@townsend_application_1985]</w:t>
      </w:r>
      <w:r>
        <w:t xml:space="preserve">. Filtration capacity scales with body size, metabolic demand, and digestion efficiency, consistent with bioenergetic constraints on intake and processing capacity</w:t>
      </w:r>
      <w:r>
        <w:t xml:space="preserve"> </w:t>
      </w:r>
      <w:r>
        <w:t xml:space="preserve">[@norin_metabolic_2018]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[@kjelland_integrated_2015; @kjelland_review_2015]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[@lavoie_biomagnification_2013]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[@hirzel_habitat_2008]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[@townsend_application_1985]</w:t>
      </w:r>
      <w:r>
        <w:t xml:space="preserve"> </w:t>
      </w:r>
      <w:r>
        <w:t xml:space="preserve">and observed density-dependent feeding dynamics in SPM-mediated</w:t>
      </w:r>
      <w:r>
        <w:t xml:space="preserve"> </w:t>
      </w:r>
      <w:r>
        <w:t xml:space="preserve">systems</w:t>
      </w:r>
      <w:r>
        <w:t xml:space="preserve"> </w:t>
      </w:r>
      <w:r>
        <w:t xml:space="preserve">[@kjelland_integrated_2015]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[@lavoie_biomagnification_2013]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[@janssen_feeding_1980]</w:t>
      </w:r>
      <w:r>
        <w:t xml:space="preserve">. Filtration scales with size and metabolic</w:t>
      </w:r>
      <w:r>
        <w:t xml:space="preserve"> </w:t>
      </w:r>
      <w:r>
        <w:t xml:space="preserve">demand consistent with bioenergetic scaling principles</w:t>
      </w:r>
      <w:r>
        <w:t xml:space="preserve"> </w:t>
      </w:r>
      <w:r>
        <w:t xml:space="preserve">[@norin_metabolic_2018]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[@kjelland_integrated_2015; @kjelland_review_2015;</w:t>
      </w:r>
      <w:r>
        <w:t xml:space="preserve"> </w:t>
      </w:r>
      <w:r>
        <w:t xml:space="preserve">@lavoie_biomagnification_2013]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[@kjelland_integrated_2015]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[@norin_metabolic_2018]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[@hirzel_habitat_2008]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@lavoie_biomagnification_2013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26"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2026-05-22T14:58:18Z</dcterms:created>
  <dcterms:modified xsi:type="dcterms:W3CDTF">2026-05-22T14:58:18Z</dcterms:modified>
</cp:coreProperties>
</file>

<file path=docProps/custom.xml><?xml version="1.0" encoding="utf-8"?>
<Properties xmlns="http://schemas.openxmlformats.org/officeDocument/2006/custom-properties" xmlns:vt="http://schemas.openxmlformats.org/officeDocument/2006/docPropsVTypes"/>
</file>