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digestion"/>
    <w:p>
      <w:pPr>
        <w:pStyle w:val="Heading1"/>
      </w:pPr>
      <w:r>
        <w:t xml:space="preserve">Digestion</w:t>
      </w:r>
    </w:p>
    <w:bookmarkStart w:id="9" w:name="overview"/>
    <w:p>
      <w:pPr>
        <w:pStyle w:val="Heading2"/>
      </w:pP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(Volkoff and Rønnestad 2020; Fu et al. 2009)</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9"/>
    <w:bookmarkStart w:id="10" w:name="purpose"/>
    <w:p>
      <w:pPr>
        <w:pStyle w:val="Heading2"/>
      </w:pP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Set digestion rate equal to the current metabolic rate ((energy</w:t>
      </w:r>
      <w:r>
        <w:t xml:space="preserve"> </w:t>
      </w:r>
      <w:r>
        <w:t xml:space="preserve">units) tick⁻¹).</w:t>
      </w:r>
    </w:p>
    <w:p>
      <w:pPr>
        <w:numPr>
          <w:ilvl w:val="0"/>
          <w:numId w:val="1001"/>
        </w:numPr>
      </w:pPr>
      <w:r>
        <w:t xml:space="preserve">Calculate the mass digested during the current tick (g).</w:t>
      </w:r>
    </w:p>
    <w:p>
      <w:pPr>
        <w:numPr>
          <w:ilvl w:val="0"/>
          <w:numId w:val="1001"/>
        </w:numPr>
      </w:pPr>
      <w:r>
        <w:t xml:space="preserve">Compute the corresponding amounts of inorganic and methylmercury</w:t>
      </w:r>
      <w:r>
        <w:t xml:space="preserve"> </w:t>
      </w:r>
      <w:r>
        <w:t xml:space="preserve">digested (ng).</w:t>
      </w:r>
    </w:p>
    <w:p>
      <w:pPr>
        <w:numPr>
          <w:ilvl w:val="0"/>
          <w:numId w:val="1001"/>
        </w:numPr>
      </w:pPr>
      <w:r>
        <w:t xml:space="preserve">Remove digested biomass and associated contaminants from stomach</w:t>
      </w:r>
      <w:r>
        <w:t xml:space="preserve"> </w:t>
      </w:r>
      <w:r>
        <w:t xml:space="preserve">contents (g; ng).</w:t>
      </w:r>
    </w:p>
    <w:p>
      <w:pPr>
        <w:numPr>
          <w:ilvl w:val="0"/>
          <w:numId w:val="1001"/>
        </w:numPr>
      </w:pPr>
      <w:r>
        <w:t xml:space="preserve">Convert a fraction of digested biomass into usable energy ((energy</w:t>
      </w:r>
      <w:r>
        <w:t xml:space="preserve"> </w:t>
      </w:r>
      <w:r>
        <w:t xml:space="preserve">units) tick⁻¹).</w:t>
      </w:r>
    </w:p>
    <w:p>
      <w:pPr>
        <w:numPr>
          <w:ilvl w:val="0"/>
          <w:numId w:val="1001"/>
        </w:numPr>
      </w:pPr>
      <w:r>
        <w:t xml:space="preserve">Add mercury and methylmercury to cumulative body burden pools (ng).</w:t>
      </w:r>
    </w:p>
    <w:p>
      <w:pPr>
        <w:numPr>
          <w:ilvl w:val="0"/>
          <w:numId w:val="1001"/>
        </w:numPr>
      </w:pPr>
      <w:r>
        <w:t xml:space="preserve">When stomach contents reach zero, set foraging to true and begin</w:t>
      </w:r>
      <w:r>
        <w:t xml:space="preserve"> </w:t>
      </w:r>
      <w:r>
        <w:t xml:space="preserve">lipid use.</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(Brown et al. 2004)</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(Trudel and Rasmussen 2006)</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18"/>
    <w:bookmarkStart w:id="23" w:name="submodels"/>
    <w:p>
      <w:pPr>
        <w:pStyle w:val="Heading2"/>
      </w:pPr>
      <w:r>
        <w:t xml:space="preserve">Submodels</w:t>
      </w:r>
    </w:p>
    <w:bookmarkStart w:id="19" w:name="digestion-rate-and-breakdown"/>
    <w:p>
      <w:pPr>
        <w:pStyle w:val="Heading3"/>
      </w:pP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(C.11)</m:t>
          </m:r>
        </m:oMath>
      </m:oMathPara>
    </w:p>
    <w:p>
      <w:pPr>
        <w:pStyle w:val="FirstParagraph"/>
      </w:pPr>
      <w:r>
        <w:t xml:space="preserve">Where:</w:t>
      </w:r>
    </w:p>
    <w:p>
      <w:pPr>
        <w:numPr>
          <w:ilvl w:val="0"/>
          <w:numId w:val="100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2"/>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(C.12)</m:t>
          </m:r>
        </m:oMath>
      </m:oMathPara>
    </w:p>
    <w:p>
      <w:pPr>
        <w:pStyle w:val="FirstParagraph"/>
      </w:pPr>
      <w:r>
        <w:t xml:space="preserve">Where:</w:t>
      </w:r>
    </w:p>
    <w:p>
      <w:pPr>
        <w:numPr>
          <w:ilvl w:val="0"/>
          <w:numId w:val="100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3"/>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3"/>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(C.13)</m:t>
          </m:r>
        </m:oMath>
      </m:oMathPara>
    </w:p>
    <w:p>
      <w:pPr>
        <w:pStyle w:val="FirstParagraph"/>
      </w:pPr>
      <w:r>
        <w:t xml:space="preserve">Where:</w:t>
      </w:r>
    </w:p>
    <w:p>
      <w:pPr>
        <w:numPr>
          <w:ilvl w:val="0"/>
          <w:numId w:val="1004"/>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0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4"/>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4"/>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(C.14)</m:t>
          </m:r>
        </m:oMath>
      </m:oMathPara>
    </w:p>
    <w:p>
      <w:pPr>
        <w:pStyle w:val="FirstParagraph"/>
      </w:pPr>
      <w:r>
        <w:t xml:space="preserve">Where:</w:t>
      </w:r>
    </w:p>
    <w:p>
      <w:pPr>
        <w:numPr>
          <w:ilvl w:val="0"/>
          <w:numId w:val="100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5"/>
        </w:numPr>
      </w:pPr>
      <m:oMath>
        <m:sSub>
          <m:e>
            <m:r>
              <m:t>M</m:t>
            </m:r>
          </m:e>
          <m:sub>
            <m:r>
              <m:t>s</m:t>
            </m:r>
            <m:r>
              <m:t>t</m:t>
            </m:r>
            <m:r>
              <m:t>o</m:t>
            </m:r>
            <m:r>
              <m:t>m</m:t>
            </m:r>
            <m:r>
              <m:t>a</m:t>
            </m:r>
            <m:r>
              <m:t>c</m:t>
            </m:r>
            <m:r>
              <m:t>h</m:t>
            </m:r>
          </m:sub>
        </m:sSub>
      </m:oMath>
      <w:r>
        <w:t xml:space="preserve"> </w:t>
      </w:r>
      <w:r>
        <w:t xml:space="preserve">is the biomass currently stored in the stomach (g).</w:t>
      </w:r>
    </w:p>
    <w:bookmarkEnd w:id="19"/>
    <w:bookmarkStart w:id="20" w:name="energy-conversion"/>
    <w:p>
      <w:pPr>
        <w:pStyle w:val="Heading3"/>
      </w:pP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(C.15)</m:t>
          </m:r>
        </m:oMath>
      </m:oMathPara>
    </w:p>
    <w:p>
      <w:pPr>
        <w:pStyle w:val="FirstParagraph"/>
      </w:pPr>
      <w:r>
        <w:t xml:space="preserve">Where:</w:t>
      </w:r>
    </w:p>
    <w:p>
      <w:pPr>
        <w:numPr>
          <w:ilvl w:val="0"/>
          <w:numId w:val="100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06"/>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(C.16)</m:t>
          </m:r>
        </m:oMath>
      </m:oMathPara>
    </w:p>
    <w:p>
      <w:pPr>
        <w:pStyle w:val="FirstParagraph"/>
      </w:pPr>
      <w:r>
        <w:t xml:space="preserve">Where:</w:t>
      </w:r>
    </w:p>
    <w:p>
      <w:pPr>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07"/>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0"/>
    <w:bookmarkStart w:id="21" w:name="contaminant-assimilation"/>
    <w:p>
      <w:pPr>
        <w:pStyle w:val="Heading3"/>
      </w:pP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(C.17)</m:t>
          </m:r>
        </m:oMath>
      </m:oMathPara>
    </w:p>
    <w:p>
      <w:pPr>
        <w:pStyle w:val="FirstParagraph"/>
      </w:pPr>
      <w:r>
        <w:t xml:space="preserve">Where:</w:t>
      </w:r>
    </w:p>
    <w:p>
      <w:pPr>
        <w:numPr>
          <w:ilvl w:val="0"/>
          <w:numId w:val="1008"/>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0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(C.18)</m:t>
          </m:r>
        </m:oMath>
      </m:oMathPara>
    </w:p>
    <w:p>
      <w:pPr>
        <w:pStyle w:val="FirstParagraph"/>
      </w:pPr>
      <w:r>
        <w:t xml:space="preserve">Where:</w:t>
      </w:r>
    </w:p>
    <w:p>
      <w:pPr>
        <w:numPr>
          <w:ilvl w:val="0"/>
          <w:numId w:val="1009"/>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09"/>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21"/>
    <w:bookmarkStart w:id="22" w:name="transition-to-foraging"/>
    <w:p>
      <w:pPr>
        <w:pStyle w:val="Heading3"/>
      </w:pPr>
      <w:r>
        <w:t xml:space="preserve">Transition to Foraging</w:t>
      </w:r>
    </w:p>
    <w:p>
      <w:pPr>
        <w:pStyle w:val="FirstParagraph"/>
      </w:pPr>
      <w:r>
        <w:t xml:space="preserve">When stomach contents reach zero:</w:t>
      </w:r>
    </w:p>
    <w:p>
      <w:pPr>
        <w:pStyle w:val="Compact"/>
        <w:numPr>
          <w:ilvl w:val="0"/>
          <w:numId w:val="1010"/>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(Araújo et al. 2013; Zenga 2020)</w:t>
      </w:r>
      <w:r>
        <w:t xml:space="preserve">.</w:t>
      </w:r>
    </w:p>
    <w:bookmarkEnd w:id="22"/>
    <w:bookmarkEnd w:id="23"/>
    <w:bookmarkStart w:id="37"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Start w:id="36" w:name="refs"/>
    <w:bookmarkStart w:id="25"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24">
        <w:r>
          <w:rPr>
            <w:rStyle w:val="Hyperlink"/>
          </w:rPr>
          <w:t xml:space="preserve">https://doi.org/10.23818/limn.32.24</w:t>
        </w:r>
      </w:hyperlink>
      <w:r>
        <w:t xml:space="preserve">.</w:t>
      </w:r>
    </w:p>
    <w:bookmarkEnd w:id="25"/>
    <w:bookmarkStart w:id="27"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6">
        <w:r>
          <w:rPr>
            <w:rStyle w:val="Hyperlink"/>
          </w:rPr>
          <w:t xml:space="preserve">https://doi.org/10.1890/03-9000</w:t>
        </w:r>
      </w:hyperlink>
      <w:r>
        <w:t xml:space="preserve">.</w:t>
      </w:r>
    </w:p>
    <w:bookmarkEnd w:id="27"/>
    <w:bookmarkStart w:id="29"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28">
        <w:r>
          <w:rPr>
            <w:rStyle w:val="Hyperlink"/>
          </w:rPr>
          <w:t xml:space="preserve">https://doi.org/10.1242/jeb.027102</w:t>
        </w:r>
      </w:hyperlink>
      <w:r>
        <w:t xml:space="preserve">.</w:t>
      </w:r>
    </w:p>
    <w:bookmarkEnd w:id="29"/>
    <w:bookmarkStart w:id="31"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30">
        <w:r>
          <w:rPr>
            <w:rStyle w:val="Hyperlink"/>
          </w:rPr>
          <w:t xml:space="preserve">https://doi.org/10.1139/f06-081</w:t>
        </w:r>
      </w:hyperlink>
      <w:r>
        <w:t xml:space="preserve">.</w:t>
      </w:r>
    </w:p>
    <w:bookmarkEnd w:id="31"/>
    <w:bookmarkStart w:id="33"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32">
        <w:r>
          <w:rPr>
            <w:rStyle w:val="Hyperlink"/>
          </w:rPr>
          <w:t xml:space="preserve">https://doi.org/10.1080/23328940.2020.1765950</w:t>
        </w:r>
      </w:hyperlink>
      <w:r>
        <w:t xml:space="preserve">.</w:t>
      </w:r>
    </w:p>
    <w:bookmarkEnd w:id="33"/>
    <w:bookmarkStart w:id="35"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34">
        <w:r>
          <w:rPr>
            <w:rStyle w:val="Hyperlink"/>
          </w:rPr>
          <w:t xml:space="preserve">https://digitalcommons.library.umaine.edu/honors/616</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igitalcommons.library.umaine.edu/honors/616" TargetMode="External" /><Relationship Type="http://schemas.openxmlformats.org/officeDocument/2006/relationships/hyperlink" Id="rId32" Target="https://doi.org/10.1080/23328940.2020.1765950" TargetMode="External" /><Relationship Type="http://schemas.openxmlformats.org/officeDocument/2006/relationships/hyperlink" Id="rId30" Target="https://doi.org/10.1139/f06-081" TargetMode="External" /><Relationship Type="http://schemas.openxmlformats.org/officeDocument/2006/relationships/hyperlink" Id="rId28" Target="https://doi.org/10.1242/jeb.027102" TargetMode="External" /><Relationship Type="http://schemas.openxmlformats.org/officeDocument/2006/relationships/hyperlink" Id="rId26" Target="https://doi.org/10.1890/03-9000" TargetMode="External" /><Relationship Type="http://schemas.openxmlformats.org/officeDocument/2006/relationships/hyperlink" Id="rId24" Target="https://doi.org/10.23818/limn.32.24" TargetMode="External" /></Relationships>
</file>

<file path=word/_rels/footnotes.xml.rels><?xml version="1.0" encoding="UTF-8"?><Relationships xmlns="http://schemas.openxmlformats.org/package/2006/relationships"><Relationship Type="http://schemas.openxmlformats.org/officeDocument/2006/relationships/hyperlink" Id="rId34" Target="https://digitalcommons.library.umaine.edu/honors/616" TargetMode="External" /><Relationship Type="http://schemas.openxmlformats.org/officeDocument/2006/relationships/hyperlink" Id="rId32" Target="https://doi.org/10.1080/23328940.2020.1765950" TargetMode="External" /><Relationship Type="http://schemas.openxmlformats.org/officeDocument/2006/relationships/hyperlink" Id="rId30" Target="https://doi.org/10.1139/f06-081" TargetMode="External" /><Relationship Type="http://schemas.openxmlformats.org/officeDocument/2006/relationships/hyperlink" Id="rId28" Target="https://doi.org/10.1242/jeb.027102" TargetMode="External" /><Relationship Type="http://schemas.openxmlformats.org/officeDocument/2006/relationships/hyperlink" Id="rId26" Target="https://doi.org/10.1890/03-9000" TargetMode="External" /><Relationship Type="http://schemas.openxmlformats.org/officeDocument/2006/relationships/hyperlink" Id="rId24" Target="https://doi.org/10.23818/limn.32.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2026-05-22T16:00:15Z</dcterms:created>
  <dcterms:modified xsi:type="dcterms:W3CDTF">2026-05-22T16:00:15Z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