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2005; Grimm et al.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9">
        <w:r>
          <w:rPr>
            <w:rStyle w:val="Hyperlink"/>
          </w:rPr>
          <w:t xml:space="preserve">https://doi.org/10.1016/j.ecolmodel.2010.08.019</w:t>
        </w:r>
      </w:hyperlink>
      <w:r>
        <w:t xml:space="preserve">.</w:t>
      </w:r>
    </w:p>
    <w:bookmarkEnd w:id="10"/>
    <w:bookmarkStart w:id="1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1">
        <w:r>
          <w:rPr>
            <w:rStyle w:val="Hyperlink"/>
          </w:rPr>
          <w:t xml:space="preserve">https://doi.org/10.18564/jasss.4259</w:t>
        </w:r>
      </w:hyperlink>
      <w:r>
        <w:t xml:space="preserve">.</w:t>
      </w:r>
    </w:p>
    <w:bookmarkEnd w:id="12"/>
    <w:bookmarkStart w:id="14"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13">
        <w:r>
          <w:rPr>
            <w:rStyle w:val="Hyperlink"/>
          </w:rPr>
          <w:t xml:space="preserve">https://doi.org/10.1126/science.1116681</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2026-05-22T16:00:11Z</dcterms:created>
  <dcterms:modified xsi:type="dcterms:W3CDTF">2026-05-22T16:00:11Z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