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igration-cues"/>
    <w:p>
      <w:pPr>
        <w:pStyle w:val="Heading1"/>
      </w:pPr>
      <w:r>
        <w:t xml:space="preserve">Migration Cues</w:t>
      </w:r>
    </w:p>
    <w:bookmarkStart w:id="9" w:name="overview"/>
    <w:p>
      <w:pPr>
        <w:pStyle w:val="Heading2"/>
      </w:pP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 et al. (2014)</w:t>
      </w:r>
      <w:r>
        <w:t xml:space="preserve">;</w:t>
      </w:r>
      <w:r>
        <w:t xml:space="preserve"> </w:t>
      </w:r>
      <w:r>
        <w:t xml:space="preserve">García-Vega et al. (2022)</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
    <w:bookmarkStart w:id="10" w:name="purpose"/>
    <w:p>
      <w:pPr>
        <w:pStyle w:val="Heading2"/>
      </w:pP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01"/>
        </w:numPr>
      </w:pPr>
      <w:r>
        <w:rPr>
          <w:b/>
          <w:bCs/>
        </w:rPr>
        <w:t xml:space="preserve">Changes in ΔTemperature and ΔDaylength structure seasonality</w:t>
      </w:r>
    </w:p>
    <w:p>
      <w:pPr>
        <w:pStyle w:val="Compact"/>
        <w:numPr>
          <w:ilvl w:val="0"/>
          <w:numId w:val="1001"/>
        </w:numPr>
      </w:pPr>
      <w:r>
        <w:rPr>
          <w:b/>
          <w:bCs/>
        </w:rPr>
        <w:t xml:space="preserve">Migration timing emerges pragmatically rather than being fixed</w:t>
      </w:r>
    </w:p>
    <w:p>
      <w:pPr>
        <w:pStyle w:val="Compact"/>
        <w:numPr>
          <w:ilvl w:val="0"/>
          <w:numId w:val="1001"/>
        </w:numPr>
      </w:pPr>
      <w:r>
        <w:rPr>
          <w:b/>
          <w:bCs/>
        </w:rPr>
        <w:t xml:space="preserve">Fish respond to external conditions and species interactions</w:t>
      </w:r>
    </w:p>
    <w:p>
      <w:pPr>
        <w:pStyle w:val="Compact"/>
        <w:numPr>
          <w:ilvl w:val="0"/>
          <w:numId w:val="1001"/>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2"/>
        </w:numPr>
      </w:pPr>
      <w:r>
        <w:rPr>
          <w:b/>
          <w:bCs/>
        </w:rPr>
        <w:t xml:space="preserve">Spatial Unit</w:t>
      </w:r>
      <w:r>
        <w:t xml:space="preserve">: Patch (3 m x 3 m resolution)</w:t>
      </w:r>
    </w:p>
    <w:p>
      <w:pPr>
        <w:pStyle w:val="Compact"/>
        <w:numPr>
          <w:ilvl w:val="0"/>
          <w:numId w:val="1002"/>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12"/>
    <w:bookmarkStart w:id="13" w:name="patch-variables"/>
    <w:p>
      <w:pPr>
        <w:pStyle w:val="Heading3"/>
      </w:pPr>
      <w:r>
        <w:t xml:space="preserve">Patch Variables</w:t>
      </w:r>
    </w:p>
    <w:p>
      <w:pPr>
        <w:pStyle w:val="FirstParagraph"/>
      </w:pPr>
      <w:r>
        <w:t xml:space="preserve">Migration cues do not depend on patch-level conditions. No patch-scale variables are required.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14"/>
    <w:bookmarkEnd w:id="15"/>
    <w:bookmarkStart w:id="16" w:name="process-overview-and-scheduling"/>
    <w:p>
      <w:pPr>
        <w:pStyle w:val="Heading2"/>
      </w:pPr>
      <w:r>
        <w:t xml:space="preserve">Process Overview and Scheduling</w:t>
      </w:r>
    </w:p>
    <w:p>
      <w:pPr>
        <w:pStyle w:val="Compact"/>
        <w:numPr>
          <w:ilvl w:val="0"/>
          <w:numId w:val="1003"/>
        </w:numPr>
      </w:pPr>
      <w:r>
        <w:t xml:space="preserve">Environmental Inputs (from R)</w:t>
      </w:r>
    </w:p>
    <w:p>
      <w:pPr>
        <w:pStyle w:val="FirstParagraph"/>
      </w:pPr>
      <w:r>
        <w:t xml:space="preserve">External R preprocessing computes:</w:t>
      </w:r>
    </w:p>
    <w:p>
      <w:pPr>
        <w:pStyle w:val="Compact"/>
        <w:numPr>
          <w:ilvl w:val="0"/>
          <w:numId w:val="1004"/>
        </w:numPr>
      </w:pPr>
      <w:r>
        <w:t xml:space="preserve">ΔTemperature per day</w:t>
      </w:r>
      <w:r>
        <w:br/>
      </w:r>
    </w:p>
    <w:p>
      <w:pPr>
        <w:pStyle w:val="Compact"/>
        <w:numPr>
          <w:ilvl w:val="0"/>
          <w:numId w:val="1004"/>
        </w:numPr>
      </w:pPr>
      <w:r>
        <w:t xml:space="preserve">ΔDaylength per day</w:t>
      </w:r>
      <w:r>
        <w:br/>
      </w:r>
    </w:p>
    <w:p>
      <w:pPr>
        <w:pStyle w:val="Compact"/>
        <w:numPr>
          <w:ilvl w:val="0"/>
          <w:numId w:val="1004"/>
        </w:numPr>
      </w:pPr>
      <w:r>
        <w:t xml:space="preserve">Smoothed 3-day rolling means</w:t>
      </w:r>
      <w:r>
        <w:br/>
      </w:r>
    </w:p>
    <w:p>
      <w:pPr>
        <w:pStyle w:val="Compact"/>
        <w:numPr>
          <w:ilvl w:val="0"/>
          <w:numId w:val="1004"/>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04"/>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05"/>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05"/>
        </w:numPr>
      </w:pPr>
      <w:r>
        <w:t xml:space="preserve">For agents with an active migration trigger, individual migration</w:t>
      </w:r>
      <w:r>
        <w:t xml:space="preserve"> </w:t>
      </w:r>
      <w:r>
        <w:t xml:space="preserve">probability is incremented at each simulation time step (tick).</w:t>
      </w:r>
    </w:p>
    <w:p>
      <w:pPr>
        <w:numPr>
          <w:ilvl w:val="0"/>
          <w:numId w:val="1005"/>
        </w:numPr>
      </w:pPr>
      <w:r>
        <w:t xml:space="preserve">When an agent’s migration probability exceeds a stochastic</w:t>
      </w:r>
      <w:r>
        <w:t xml:space="preserve"> </w:t>
      </w:r>
      <w:r>
        <w:t xml:space="preserve">threshold, initiate migration.</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 et al. (2014)</w:t>
      </w:r>
      <w:r>
        <w:t xml:space="preserve">;</w:t>
      </w:r>
      <w:r>
        <w:t xml:space="preserve"> </w:t>
      </w:r>
      <w:r>
        <w:t xml:space="preserve">García-Vega et al. (2022)</w:t>
      </w:r>
      <w:r>
        <w:t xml:space="preserve">;</w:t>
      </w:r>
      <w:r>
        <w:t xml:space="preserve"> </w:t>
      </w:r>
      <w:r>
        <w:t xml:space="preserve">Jonsson (1991)</w:t>
      </w:r>
      <w:r>
        <w:t xml:space="preserve">).</w:t>
      </w:r>
    </w:p>
    <w:p>
      <w:pPr>
        <w:pStyle w:val="BodyText"/>
      </w:pPr>
      <w:r>
        <w:rPr>
          <w:b/>
          <w:bCs/>
        </w:rPr>
        <w:t xml:space="preserve">Emergence:</w:t>
      </w:r>
      <w:r>
        <w:t xml:space="preserve"> </w:t>
      </w:r>
      <w:r>
        <w:t xml:space="preserve">Migration timing varies among individuals</w:t>
      </w:r>
      <w:r>
        <w:t xml:space="preserve"> </w:t>
      </w:r>
      <w:r>
        <w:t xml:space="preserve">(Dingle 2014)</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8"/>
    <w:bookmarkStart w:id="23" w:name="submodels"/>
    <w:p>
      <w:pPr>
        <w:pStyle w:val="Heading2"/>
      </w:pPr>
      <w:r>
        <w:t xml:space="preserve">Submodels</w:t>
      </w:r>
    </w:p>
    <w:bookmarkStart w:id="19" w:name="identifying-cue-days-preprocessed-in-r"/>
    <w:p>
      <w:pPr>
        <w:pStyle w:val="Heading3"/>
      </w:pP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(C.33)</m:t>
          </m:r>
        </m:oMath>
      </m:oMathPara>
    </w:p>
    <w:p>
      <w:pPr>
        <w:pStyle w:val="FirstParagraph"/>
      </w:pPr>
      <w:r>
        <w:t xml:space="preserve">Where:</w:t>
      </w:r>
    </w:p>
    <w:p>
      <w:pPr>
        <w:pStyle w:val="Compact"/>
        <w:numPr>
          <w:ilvl w:val="0"/>
          <w:numId w:val="1006"/>
        </w:numPr>
      </w:pPr>
      <m:oMath>
        <m:r>
          <m:rPr>
            <m:sty m:val="p"/>
          </m:rPr>
          <m:t>Δ</m:t>
        </m:r>
        <m:r>
          <m:t>T</m:t>
        </m:r>
      </m:oMath>
      <w:r>
        <w:t xml:space="preserve"> </w:t>
      </w:r>
      <w:r>
        <w:t xml:space="preserve">is the change in temperature used to flag cue days.</w:t>
      </w:r>
    </w:p>
    <w:p>
      <w:pPr>
        <w:pStyle w:val="Compact"/>
        <w:numPr>
          <w:ilvl w:val="0"/>
          <w:numId w:val="1006"/>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07"/>
        </w:numPr>
      </w:pPr>
      <w:r>
        <w:t xml:space="preserve">Computes ΔT and ΔL</w:t>
      </w:r>
    </w:p>
    <w:p>
      <w:pPr>
        <w:pStyle w:val="Compact"/>
        <w:numPr>
          <w:ilvl w:val="0"/>
          <w:numId w:val="1007"/>
        </w:numPr>
      </w:pPr>
      <w:r>
        <w:t xml:space="preserve">Applies smoothing</w:t>
      </w:r>
    </w:p>
    <w:p>
      <w:pPr>
        <w:pStyle w:val="Compact"/>
        <w:numPr>
          <w:ilvl w:val="0"/>
          <w:numId w:val="1007"/>
        </w:numPr>
      </w:pPr>
      <w:r>
        <w:t xml:space="preserve">Flags coincident declines</w:t>
      </w:r>
    </w:p>
    <w:bookmarkEnd w:id="19"/>
    <w:bookmarkStart w:id="20" w:name="activation-of-migration-cue"/>
    <w:p>
      <w:pPr>
        <w:pStyle w:val="Heading3"/>
      </w:pP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(C.34)</m:t>
          </m:r>
        </m:oMath>
      </m:oMathPara>
    </w:p>
    <w:p>
      <w:pPr>
        <w:pStyle w:val="FirstParagraph"/>
      </w:pPr>
      <w:r>
        <w:t xml:space="preserve">Where:</w:t>
      </w:r>
    </w:p>
    <w:p>
      <w:pPr>
        <w:pStyle w:val="Compact"/>
        <w:numPr>
          <w:ilvl w:val="0"/>
          <w:numId w:val="1008"/>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(C.35)</m:t>
          </m:r>
        </m:oMath>
      </m:oMathPara>
    </w:p>
    <w:p>
      <w:pPr>
        <w:pStyle w:val="FirstParagraph"/>
      </w:pPr>
      <w:r>
        <w:t xml:space="preserve">Where:</w:t>
      </w:r>
    </w:p>
    <w:p>
      <w:pPr>
        <w:pStyle w:val="Compact"/>
        <w:numPr>
          <w:ilvl w:val="0"/>
          <w:numId w:val="1009"/>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(Dingle 2014)</w:t>
      </w:r>
      <w:r>
        <w:t xml:space="preserve">.</w:t>
      </w:r>
    </w:p>
    <w:bookmarkEnd w:id="20"/>
    <w:bookmarkStart w:id="21" w:name="accumulation-of-migration-probability"/>
    <w:p>
      <w:pPr>
        <w:pStyle w:val="Heading3"/>
      </w:pP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(C.36)</m:t>
          </m:r>
        </m:oMath>
      </m:oMathPara>
    </w:p>
    <w:p>
      <w:pPr>
        <w:pStyle w:val="FirstParagraph"/>
      </w:pPr>
      <w:r>
        <w:t xml:space="preserve">Where:</w:t>
      </w:r>
    </w:p>
    <w:p>
      <w:pPr>
        <w:pStyle w:val="Compact"/>
        <w:numPr>
          <w:ilvl w:val="0"/>
          <w:numId w:val="1010"/>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(C.37)</m:t>
          </m:r>
        </m:oMath>
      </m:oMathPara>
    </w:p>
    <w:p>
      <w:pPr>
        <w:pStyle w:val="FirstParagraph"/>
      </w:pPr>
      <w:r>
        <w:t xml:space="preserve">Where:</w:t>
      </w:r>
    </w:p>
    <w:p>
      <w:pPr>
        <w:pStyle w:val="Compact"/>
        <w:numPr>
          <w:ilvl w:val="0"/>
          <w:numId w:val="1011"/>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21"/>
    <w:bookmarkStart w:id="22" w:name="initiate-migration"/>
    <w:p>
      <w:pPr>
        <w:pStyle w:val="Heading3"/>
      </w:pP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(C.38)</m:t>
          </m:r>
        </m:oMath>
      </m:oMathPara>
    </w:p>
    <w:p>
      <w:pPr>
        <w:pStyle w:val="FirstParagraph"/>
      </w:pPr>
      <w:r>
        <w:t xml:space="preserve">Where:</w:t>
      </w:r>
    </w:p>
    <w:p>
      <w:pPr>
        <w:pStyle w:val="Compact"/>
        <w:numPr>
          <w:ilvl w:val="0"/>
          <w:numId w:val="1012"/>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(C.39)</m:t>
          </m:r>
        </m:oMath>
      </m:oMathPara>
    </w:p>
    <w:p>
      <w:pPr>
        <w:pStyle w:val="FirstParagraph"/>
      </w:pPr>
      <w:r>
        <w:t xml:space="preserve">Where:</w:t>
      </w:r>
    </w:p>
    <w:p>
      <w:pPr>
        <w:pStyle w:val="Compact"/>
        <w:numPr>
          <w:ilvl w:val="0"/>
          <w:numId w:val="1013"/>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22"/>
    <w:bookmarkEnd w:id="23"/>
    <w:bookmarkStart w:id="31"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Start w:id="30" w:name="refs"/>
    <w:bookmarkStart w:id="24" w:name="ref-dingle_2014_migration"/>
    <w:p>
      <w:pPr>
        <w:pStyle w:val="Bibliography"/>
      </w:pPr>
      <w:r>
        <w:t xml:space="preserve">Dingle, Hugh. 2014.</w:t>
      </w:r>
      <w:r>
        <w:t xml:space="preserve"> </w:t>
      </w:r>
      <w:r>
        <w:rPr>
          <w:i/>
          <w:iCs/>
        </w:rPr>
        <w:t xml:space="preserve">Migration: The Biology of Life on the Move</w:t>
      </w:r>
      <w:r>
        <w:t xml:space="preserve">. 2nd ed. Oxford University Press.</w:t>
      </w:r>
    </w:p>
    <w:bookmarkEnd w:id="24"/>
    <w:bookmarkStart w:id="26" w:name="ref-garcia-vega_upstream_2022"/>
    <w:p>
      <w:pPr>
        <w:pStyle w:val="Bibliography"/>
      </w:pPr>
      <w:r>
        <w:t xml:space="preserve">García-Vega, Ana, Juan Francisco Fuentes-Pérez, Pedro M. Leunda Urretabizkaia, José Ardaiz Ganuza, and Francisco Javier Sanz-Ronda. 2022.</w:t>
      </w:r>
      <w:r>
        <w:t xml:space="preserve"> </w:t>
      </w:r>
      <w:r>
        <w:t xml:space="preserve">“Upstream Migration of Anadromous and Potamodromous Brown Trout: Patterns and Triggers in a 25-Year Overview.”</w:t>
      </w:r>
      <w:r>
        <w:t xml:space="preserve"> </w:t>
      </w:r>
      <w:r>
        <w:rPr>
          <w:i/>
          <w:iCs/>
        </w:rPr>
        <w:t xml:space="preserve">Hydrobiologia</w:t>
      </w:r>
      <w:r>
        <w:t xml:space="preserve"> </w:t>
      </w:r>
      <w:r>
        <w:t xml:space="preserve">849 (1): 197–213.</w:t>
      </w:r>
      <w:r>
        <w:t xml:space="preserve"> </w:t>
      </w:r>
      <w:hyperlink r:id="rId25">
        <w:r>
          <w:rPr>
            <w:rStyle w:val="Hyperlink"/>
          </w:rPr>
          <w:t xml:space="preserve">https://doi.org/10.1007/s10750-021-04720-9</w:t>
        </w:r>
      </w:hyperlink>
      <w:r>
        <w:t xml:space="preserve">.</w:t>
      </w:r>
    </w:p>
    <w:bookmarkEnd w:id="26"/>
    <w:bookmarkStart w:id="27" w:name="ref-jonsson_environmental_1991"/>
    <w:p>
      <w:pPr>
        <w:pStyle w:val="Bibliography"/>
      </w:pPr>
      <w:r>
        <w:t xml:space="preserve">Jonsson, Nina. 1991.</w:t>
      </w:r>
      <w:r>
        <w:t xml:space="preserve"> </w:t>
      </w:r>
      <w:r>
        <w:t xml:space="preserve">“Influence of Water Flow, Water Temperature and Light on Fish Migration in Rivers.”</w:t>
      </w:r>
      <w:r>
        <w:t xml:space="preserve"> </w:t>
      </w:r>
      <w:r>
        <w:rPr>
          <w:i/>
          <w:iCs/>
        </w:rPr>
        <w:t xml:space="preserve">Nordic Journal of Freshwater Research</w:t>
      </w:r>
      <w:r>
        <w:t xml:space="preserve"> </w:t>
      </w:r>
      <w:r>
        <w:t xml:space="preserve">66: 20–35.</w:t>
      </w:r>
    </w:p>
    <w:bookmarkEnd w:id="27"/>
    <w:bookmarkStart w:id="29" w:name="ref-zydlewski_photoperiod_2014"/>
    <w:p>
      <w:pPr>
        <w:pStyle w:val="Bibliography"/>
      </w:pPr>
      <w:r>
        <w:t xml:space="preserve">Zydlewski, G. B., D. S. Stich, and S. D. McCormick. 2014.</w:t>
      </w:r>
      <w:r>
        <w:t xml:space="preserve"> </w:t>
      </w:r>
      <w:r>
        <w:t xml:space="preserve">“Photoperiod Control of Downstream Movements of</w:t>
      </w:r>
      <w:r>
        <w:t xml:space="preserve"> </w:t>
      </w:r>
      <w:r>
        <w:t xml:space="preserve">Atlantic</w:t>
      </w:r>
      <w:r>
        <w:t xml:space="preserve"> </w:t>
      </w:r>
      <w:r>
        <w:t xml:space="preserve">Salmon</w:t>
      </w:r>
      <w:r>
        <w:t xml:space="preserve"> </w:t>
      </w:r>
      <w:r>
        <w:rPr>
          <w:i/>
          <w:iCs/>
        </w:rPr>
        <w:t xml:space="preserve">Salmo</w:t>
      </w:r>
      <w:r>
        <w:rPr>
          <w:i/>
          <w:iCs/>
        </w:rPr>
        <w:t xml:space="preserve"> </w:t>
      </w:r>
      <w:r>
        <w:rPr>
          <w:i/>
          <w:iCs/>
        </w:rPr>
        <w:t xml:space="preserve">Salar</w:t>
      </w:r>
      <w:r>
        <w:t xml:space="preserve"> </w:t>
      </w:r>
      <w:r>
        <w:t xml:space="preserve">Smolts.”</w:t>
      </w:r>
      <w:r>
        <w:t xml:space="preserve"> </w:t>
      </w:r>
      <w:r>
        <w:rPr>
          <w:i/>
          <w:iCs/>
        </w:rPr>
        <w:t xml:space="preserve">Journal of Fish Biology</w:t>
      </w:r>
      <w:r>
        <w:t xml:space="preserve"> </w:t>
      </w:r>
      <w:r>
        <w:t xml:space="preserve">85 (4): 1023–41.</w:t>
      </w:r>
      <w:r>
        <w:t xml:space="preserve"> </w:t>
      </w:r>
      <w:hyperlink r:id="rId28">
        <w:r>
          <w:rPr>
            <w:rStyle w:val="Hyperlink"/>
          </w:rPr>
          <w:t xml:space="preserve">https://doi.org/10.1111/jfb.12509</w:t>
        </w:r>
      </w:hyperlink>
      <w:r>
        <w:t xml:space="preserve">.</w:t>
      </w:r>
    </w:p>
    <w:bookmarkEnd w:id="29"/>
    <w:bookmarkEnd w:id="30"/>
    <w:bookmarkEnd w:id="31"/>
    <w:bookmarkEnd w:id="3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750-021-04720-9" TargetMode="External" /><Relationship Type="http://schemas.openxmlformats.org/officeDocument/2006/relationships/hyperlink" Id="rId28" Target="https://doi.org/10.1111/jfb.125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2026-05-22T16:00:17Z</dcterms:created>
  <dcterms:modified xsi:type="dcterms:W3CDTF">2026-05-22T16:00:17Z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