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small-particulate-feeding"/>
    <w:p>
      <w:pPr>
        <w:pStyle w:val="Heading1"/>
      </w:pPr>
      <w:r>
        <w:t xml:space="preserve">Small Particulate Feeding</w:t>
      </w:r>
    </w:p>
    <w:bookmarkStart w:id="9" w:name="overview"/>
    <w:p>
      <w:pPr>
        <w:pStyle w:val="Heading2"/>
      </w:pP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[@townsend_application_1985]</w:t>
      </w:r>
      <w:r>
        <w:t xml:space="preserve">. Filtration capacity scales with body size, metabolic demand, and digestion efficiency, consistent with bioenergetic constraints on intake and processing capacity</w:t>
      </w:r>
      <w:r>
        <w:t xml:space="preserve"> </w:t>
      </w:r>
      <w:r>
        <w:t xml:space="preserve">[@norin_metabolic_2018]</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[@kjelland_integrated_2015; @kjelland_review_2015]</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[@lavoie_biomagnification_2013]</w:t>
      </w:r>
      <w:r>
        <w:t xml:space="preserve">. This formulation allows feeding-driven exposure to emerge from the interaction between hydrodynamic SPM fields, foraging decisions, and physiological constraints, rather than being treated as a static uptake rate.</w:t>
      </w:r>
    </w:p>
    <w:bookmarkEnd w:id="9"/>
    <w:bookmarkStart w:id="10" w:name="purpose-and-patterns"/>
    <w:p>
      <w:pPr>
        <w:pStyle w:val="Heading2"/>
      </w:pP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01"/>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01"/>
        </w:numPr>
      </w:pPr>
      <w:r>
        <w:rPr>
          <w:b/>
          <w:bCs/>
        </w:rPr>
        <w:t xml:space="preserve">Gaussian SPM preference centered on optimal SPM</w:t>
      </w:r>
      <w:r>
        <w:br/>
      </w:r>
      <w:r>
        <w:t xml:space="preserve">Feeding intensity is highest near an optimal SPM range and decreases away from that peak.</w:t>
      </w:r>
    </w:p>
    <w:p>
      <w:pPr>
        <w:numPr>
          <w:ilvl w:val="0"/>
          <w:numId w:val="1001"/>
        </w:numPr>
      </w:pPr>
      <w:r>
        <w:rPr>
          <w:b/>
          <w:bCs/>
        </w:rPr>
        <w:t xml:space="preserve">Crowding penalty from con-specifics</w:t>
      </w:r>
      <w:r>
        <w:br/>
      </w:r>
      <w:r>
        <w:t xml:space="preserve">Filtration benefit decreases when multiple individuals feed in the same patch.</w:t>
      </w:r>
    </w:p>
    <w:p>
      <w:pPr>
        <w:numPr>
          <w:ilvl w:val="0"/>
          <w:numId w:val="1001"/>
        </w:numPr>
      </w:pPr>
      <w:r>
        <w:rPr>
          <w:b/>
          <w:bCs/>
        </w:rPr>
        <w:t xml:space="preserve">Movement toward highest benefit</w:t>
      </w:r>
      <w:r>
        <w:br/>
      </w:r>
      <w:r>
        <w:t xml:space="preserve">Fish move toward the patch with the highest filtration benefit based on SPM and competitive pressure.</w:t>
      </w:r>
    </w:p>
    <w:p>
      <w:pPr>
        <w:numPr>
          <w:ilvl w:val="0"/>
          <w:numId w:val="1001"/>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
    <w:bookmarkStart w:id="13" w:name="patch-variables"/>
    <w:p>
      <w:pPr>
        <w:pStyle w:val="Heading3"/>
      </w:pP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3"/>
    <w:bookmarkStart w:id="14" w:name="agent-variables"/>
    <w:p>
      <w:pPr>
        <w:pStyle w:val="Heading3"/>
      </w:pP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4"/>
    <w:bookmarkEnd w:id="15"/>
    <w:bookmarkStart w:id="16" w:name="process-overview-and-scheduling"/>
    <w:p>
      <w:pPr>
        <w:pStyle w:val="Heading2"/>
      </w:pPr>
      <w:r>
        <w:t xml:space="preserve">Process Overview and Scheduling</w:t>
      </w:r>
    </w:p>
    <w:p>
      <w:pPr>
        <w:pStyle w:val="Compact"/>
        <w:numPr>
          <w:ilvl w:val="0"/>
          <w:numId w:val="1002"/>
        </w:numPr>
      </w:pPr>
      <w:r>
        <w:t xml:space="preserve">Compute filtration capacity based on size, metabolism, and digestion</w:t>
      </w:r>
      <w:r>
        <w:t xml:space="preserve"> </w:t>
      </w:r>
      <w:r>
        <w:t xml:space="preserve">efficiency.</w:t>
      </w:r>
    </w:p>
    <w:p>
      <w:pPr>
        <w:pStyle w:val="Compact"/>
        <w:numPr>
          <w:ilvl w:val="0"/>
          <w:numId w:val="1002"/>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[@hirzel_habitat_2008]</w:t>
      </w:r>
      <w:r>
        <w:t xml:space="preserve">.</w:t>
      </w:r>
    </w:p>
    <w:p>
      <w:pPr>
        <w:pStyle w:val="Compact"/>
        <w:numPr>
          <w:ilvl w:val="0"/>
          <w:numId w:val="1002"/>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[@townsend_application_1985]</w:t>
      </w:r>
      <w:r>
        <w:t xml:space="preserve"> </w:t>
      </w:r>
      <w:r>
        <w:t xml:space="preserve">and observed density-dependent feeding dynamics in SPM-mediated</w:t>
      </w:r>
      <w:r>
        <w:t xml:space="preserve"> </w:t>
      </w:r>
      <w:r>
        <w:t xml:space="preserve">systems</w:t>
      </w:r>
      <w:r>
        <w:t xml:space="preserve"> </w:t>
      </w:r>
      <w:r>
        <w:t xml:space="preserve">[@kjelland_integrated_2015]</w:t>
      </w:r>
      <w:r>
        <w:t xml:space="preserve">.</w:t>
      </w:r>
    </w:p>
    <w:p>
      <w:pPr>
        <w:pStyle w:val="Compact"/>
        <w:numPr>
          <w:ilvl w:val="0"/>
          <w:numId w:val="1002"/>
        </w:numPr>
      </w:pPr>
      <w:r>
        <w:t xml:space="preserve">Select the patch with the highest filtration benefit.</w:t>
      </w:r>
    </w:p>
    <w:p>
      <w:pPr>
        <w:pStyle w:val="Compact"/>
        <w:numPr>
          <w:ilvl w:val="0"/>
          <w:numId w:val="1002"/>
        </w:numPr>
      </w:pPr>
      <w:r>
        <w:t xml:space="preserve">Move toward the chosen patch with travel distance reduced by</w:t>
      </w:r>
      <w:r>
        <w:t xml:space="preserve"> </w:t>
      </w:r>
      <w:r>
        <w:t xml:space="preserve">swimming efficiency.</w:t>
      </w:r>
    </w:p>
    <w:p>
      <w:pPr>
        <w:pStyle w:val="Compact"/>
        <w:numPr>
          <w:ilvl w:val="0"/>
          <w:numId w:val="1002"/>
        </w:numPr>
      </w:pPr>
      <w:r>
        <w:t xml:space="preserve">Apply swimming energy cost (energy units).</w:t>
      </w:r>
    </w:p>
    <w:p>
      <w:pPr>
        <w:pStyle w:val="Compact"/>
        <w:numPr>
          <w:ilvl w:val="0"/>
          <w:numId w:val="1002"/>
        </w:numPr>
      </w:pPr>
      <w:r>
        <w:t xml:space="preserve">Filter feed by assimilating SPM scaled biomass from the chosen</w:t>
      </w:r>
      <w:r>
        <w:t xml:space="preserve"> </w:t>
      </w:r>
      <w:r>
        <w:t xml:space="preserve">patch.</w:t>
      </w:r>
    </w:p>
    <w:p>
      <w:pPr>
        <w:pStyle w:val="Compact"/>
        <w:numPr>
          <w:ilvl w:val="0"/>
          <w:numId w:val="1002"/>
        </w:numPr>
      </w:pPr>
      <w:r>
        <w:t xml:space="preserve">Assimilate mercury and methylmercury using biomagnification factors</w:t>
      </w:r>
      <w:r>
        <w:t xml:space="preserve"> </w:t>
      </w:r>
      <w:r>
        <w:t xml:space="preserve">from</w:t>
      </w:r>
      <w:r>
        <w:t xml:space="preserve"> </w:t>
      </w:r>
      <w:r>
        <w:t xml:space="preserve">[@lavoie_biomagnification_2013]</w:t>
      </w:r>
      <w:r>
        <w:t xml:space="preserve">.</w:t>
      </w:r>
    </w:p>
    <w:p>
      <w:pPr>
        <w:pStyle w:val="Compact"/>
        <w:numPr>
          <w:ilvl w:val="0"/>
          <w:numId w:val="1002"/>
        </w:numPr>
      </w:pPr>
      <w:r>
        <w:t xml:space="preserve">Add assimilated biomass (g) and contaminants (ng) to stomach</w:t>
      </w:r>
      <w:r>
        <w:t xml:space="preserve"> </w:t>
      </w:r>
      <w:r>
        <w:t xml:space="preserve">contents .</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[@janssen_feeding_1980]</w:t>
      </w:r>
      <w:r>
        <w:t xml:space="preserve">. Filtration scales with size and metabolic</w:t>
      </w:r>
      <w:r>
        <w:t xml:space="preserve"> </w:t>
      </w:r>
      <w:r>
        <w:t xml:space="preserve">demand consistent with bioenergetic scaling principles</w:t>
      </w:r>
      <w:r>
        <w:t xml:space="preserve"> </w:t>
      </w:r>
      <w:r>
        <w:t xml:space="preserve">[@norin_metabolic_2018]</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[@kjelland_integrated_2015; @kjelland_review_2015;</w:t>
      </w:r>
      <w:r>
        <w:t xml:space="preserve"> </w:t>
      </w:r>
      <w:r>
        <w:t xml:space="preserve">@lavoie_biomagnification_2013]</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[@kjelland_integrated_2015]</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8"/>
    <w:bookmarkStart w:id="25" w:name="submodels"/>
    <w:p>
      <w:pPr>
        <w:pStyle w:val="Heading2"/>
      </w:pPr>
      <w:r>
        <w:t xml:space="preserve">Submodels</w:t>
      </w:r>
    </w:p>
    <w:bookmarkStart w:id="19" w:name="filtration-capacity"/>
    <w:p>
      <w:pPr>
        <w:pStyle w:val="Heading3"/>
      </w:pP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[@norin_metabolic_2018]</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(C.46)</m:t>
          </m:r>
        </m:oMath>
      </m:oMathPara>
    </w:p>
    <w:p>
      <w:pPr>
        <w:pStyle w:val="FirstParagraph"/>
      </w:pPr>
      <w:r>
        <w:t xml:space="preserve">Where:</w:t>
      </w:r>
    </w:p>
    <w:p>
      <w:pPr>
        <w:pStyle w:val="Compact"/>
        <w:numPr>
          <w:ilvl w:val="0"/>
          <w:numId w:val="1003"/>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03"/>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03"/>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9"/>
    <w:bookmarkStart w:id="20" w:name="spm-interest-gaussian-suitability"/>
    <w:p>
      <w:pPr>
        <w:pStyle w:val="Heading3"/>
      </w:pP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[@hirzel_habitat_2008]</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(C.47)</m:t>
          </m:r>
        </m:oMath>
      </m:oMathPara>
    </w:p>
    <w:p>
      <w:pPr>
        <w:pStyle w:val="FirstParagraph"/>
      </w:pPr>
      <w:r>
        <w:t xml:space="preserve">Where:</w:t>
      </w:r>
    </w:p>
    <w:p>
      <w:pPr>
        <w:pStyle w:val="Compact"/>
        <w:numPr>
          <w:ilvl w:val="0"/>
          <w:numId w:val="1004"/>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4"/>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4"/>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20"/>
    <w:bookmarkStart w:id="21" w:name="resource-benefit-calculation"/>
    <w:p>
      <w:pPr>
        <w:pStyle w:val="Heading3"/>
      </w:pP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(C.48)</m:t>
          </m:r>
        </m:oMath>
      </m:oMathPara>
    </w:p>
    <w:p>
      <w:pPr>
        <w:pStyle w:val="FirstParagraph"/>
      </w:pPr>
      <w:r>
        <w:t xml:space="preserve">Where:</w:t>
      </w:r>
    </w:p>
    <w:p>
      <w:pPr>
        <w:pStyle w:val="Compact"/>
        <w:numPr>
          <w:ilvl w:val="0"/>
          <w:numId w:val="1005"/>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05"/>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5"/>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5"/>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(C.49)</m:t>
          </m:r>
        </m:oMath>
      </m:oMathPara>
    </w:p>
    <w:p>
      <w:pPr>
        <w:pStyle w:val="FirstParagraph"/>
      </w:pPr>
      <w:r>
        <w:t xml:space="preserve">Where:</w:t>
      </w:r>
    </w:p>
    <w:p>
      <w:pPr>
        <w:pStyle w:val="Compact"/>
        <w:numPr>
          <w:ilvl w:val="0"/>
          <w:numId w:val="1006"/>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6"/>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21"/>
    <w:bookmarkStart w:id="22" w:name="movement"/>
    <w:p>
      <w:pPr>
        <w:pStyle w:val="Heading3"/>
      </w:pP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(C.50)</m:t>
          </m:r>
        </m:oMath>
      </m:oMathPara>
    </w:p>
    <w:p>
      <w:pPr>
        <w:pStyle w:val="FirstParagraph"/>
      </w:pPr>
      <w:r>
        <w:t xml:space="preserve">Where:</w:t>
      </w:r>
    </w:p>
    <w:p>
      <w:pPr>
        <w:pStyle w:val="Compact"/>
        <w:numPr>
          <w:ilvl w:val="0"/>
          <w:numId w:val="10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07"/>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07"/>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(C.51)</m:t>
          </m:r>
        </m:oMath>
      </m:oMathPara>
    </w:p>
    <w:p>
      <w:pPr>
        <w:pStyle w:val="FirstParagraph"/>
      </w:pPr>
      <w:r>
        <w:t xml:space="preserve">Where:</w:t>
      </w:r>
    </w:p>
    <w:p>
      <w:pPr>
        <w:pStyle w:val="Compact"/>
        <w:numPr>
          <w:ilvl w:val="0"/>
          <w:numId w:val="100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8"/>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22"/>
    <w:bookmarkStart w:id="23" w:name="feeding-and-stomach-loading"/>
    <w:p>
      <w:pPr>
        <w:pStyle w:val="Heading3"/>
      </w:pP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(C.52)</m:t>
          </m:r>
        </m:oMath>
      </m:oMathPara>
    </w:p>
    <w:p>
      <w:pPr>
        <w:pStyle w:val="FirstParagraph"/>
      </w:pPr>
      <w:r>
        <w:t xml:space="preserve">Where:</w:t>
      </w:r>
    </w:p>
    <w:p>
      <w:pPr>
        <w:pStyle w:val="Compact"/>
        <w:numPr>
          <w:ilvl w:val="0"/>
          <w:numId w:val="1009"/>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09"/>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09"/>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09"/>
        </w:numPr>
      </w:pPr>
      <m:oMath>
        <m:sSub>
          <m:e>
            <m:r>
              <m:t>M</m:t>
            </m:r>
          </m:e>
          <m:sub>
            <m:r>
              <m:t>s</m:t>
            </m:r>
            <m:r>
              <m:t>t</m:t>
            </m:r>
            <m:r>
              <m:t>o</m:t>
            </m:r>
            <m:r>
              <m:t>m</m:t>
            </m:r>
            <m:r>
              <m:t>a</m:t>
            </m:r>
            <m:r>
              <m:t>c</m:t>
            </m:r>
            <m:r>
              <m:t>h</m:t>
            </m:r>
          </m:sub>
        </m:sSub>
      </m:oMath>
      <w:r>
        <w:t xml:space="preserve"> </w:t>
      </w:r>
      <w:r>
        <w:t xml:space="preserve">is the biomass currently stored in the stomach (g).</w:t>
      </w:r>
    </w:p>
    <w:bookmarkEnd w:id="23"/>
    <w:bookmarkStart w:id="24" w:name="Xfbe3e4ee94a22ea7fd75671363ddf61ef1d38bd"/>
    <w:p>
      <w:pPr>
        <w:pStyle w:val="Heading3"/>
      </w:pPr>
      <w:r>
        <w:t xml:space="preserve">Contaminant Assimilation and Biomagnification</w:t>
      </w:r>
    </w:p>
    <w:p>
      <w:pPr>
        <w:pStyle w:val="FirstParagraph"/>
      </w:pPr>
      <w:r>
        <w:t xml:space="preserve">Biomagnification factors follow</w:t>
      </w:r>
      <w:r>
        <w:t xml:space="preserve"> </w:t>
      </w:r>
      <w:r>
        <w:t xml:space="preserve">@lavoie_biomagnification_2013</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(C.53)</m:t>
          </m:r>
        </m:oMath>
      </m:oMathPara>
    </w:p>
    <w:p>
      <w:pPr>
        <w:pStyle w:val="FirstParagraph"/>
      </w:pPr>
      <w:r>
        <w:t xml:space="preserve">Where:</w:t>
      </w:r>
    </w:p>
    <w:p>
      <w:pPr>
        <w:pStyle w:val="Compact"/>
        <w:numPr>
          <w:ilvl w:val="0"/>
          <w:numId w:val="1010"/>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10"/>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(C.54)</m:t>
          </m:r>
        </m:oMath>
      </m:oMathPara>
    </w:p>
    <w:p>
      <w:pPr>
        <w:pStyle w:val="FirstParagraph"/>
      </w:pPr>
      <w:r>
        <w:t xml:space="preserve">Where:</w:t>
      </w:r>
    </w:p>
    <w:p>
      <w:pPr>
        <w:pStyle w:val="Compact"/>
        <w:numPr>
          <w:ilvl w:val="0"/>
          <w:numId w:val="1011"/>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(C.55)</m:t>
          </m:r>
        </m:oMath>
      </m:oMathPara>
    </w:p>
    <w:p>
      <w:pPr>
        <w:pStyle w:val="FirstParagraph"/>
      </w:pPr>
      <w:r>
        <w:t xml:space="preserve">Where:</w:t>
      </w:r>
    </w:p>
    <w:p>
      <w:pPr>
        <w:pStyle w:val="Compact"/>
        <w:numPr>
          <w:ilvl w:val="0"/>
          <w:numId w:val="1012"/>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1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12"/>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12"/>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12"/>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(C.56)</m:t>
          </m:r>
        </m:oMath>
      </m:oMathPara>
    </w:p>
    <w:p>
      <w:pPr>
        <w:pStyle w:val="FirstParagraph"/>
      </w:pPr>
      <w:r>
        <w:t xml:space="preserve">Where:</w:t>
      </w:r>
    </w:p>
    <w:p>
      <w:pPr>
        <w:pStyle w:val="Compact"/>
        <w:numPr>
          <w:ilvl w:val="0"/>
          <w:numId w:val="101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13"/>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24"/>
    <w:bookmarkEnd w:id="25"/>
    <w:bookmarkStart w:id="26"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2026-05-22T14:42:24Z</dcterms:created>
  <dcterms:modified xsi:type="dcterms:W3CDTF">2026-05-22T14:42:24Z</dcterms:modified>
</cp:coreProperties>
</file>

<file path=docProps/custom.xml><?xml version="1.0" encoding="utf-8"?>
<Properties xmlns="http://schemas.openxmlformats.org/officeDocument/2006/custom-properties" xmlns:vt="http://schemas.openxmlformats.org/officeDocument/2006/docPropsVTypes"/>
</file>