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6"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 et al. 2005; Grimm et al. 2010, 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Start w:id="15" w:name="refs"/>
    <w:bookmarkStart w:id="10"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9">
        <w:r>
          <w:rPr>
            <w:rStyle w:val="Hyperlink"/>
          </w:rPr>
          <w:t xml:space="preserve">https://doi.org/10.1016/j.ecolmodel.2010.08.019</w:t>
        </w:r>
      </w:hyperlink>
      <w:r>
        <w:t xml:space="preserve">.</w:t>
      </w:r>
    </w:p>
    <w:bookmarkEnd w:id="10"/>
    <w:bookmarkStart w:id="12"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11">
        <w:r>
          <w:rPr>
            <w:rStyle w:val="Hyperlink"/>
          </w:rPr>
          <w:t xml:space="preserve">https://doi.org/10.18564/jasss.4259</w:t>
        </w:r>
      </w:hyperlink>
      <w:r>
        <w:t xml:space="preserve">.</w:t>
      </w:r>
    </w:p>
    <w:bookmarkEnd w:id="12"/>
    <w:bookmarkStart w:id="14" w:name="ref-grimm_pattern-oriented_2005"/>
    <w:p>
      <w:pPr>
        <w:pStyle w:val="Bibliography"/>
      </w:pPr>
      <w:r>
        <w:t xml:space="preserve">Grimm, Volker, Eloy Revilla, Uta Berger, et al. 2005.</w:t>
      </w:r>
      <w:r>
        <w:t xml:space="preserve"> </w:t>
      </w:r>
      <w:r>
        <w:t xml:space="preserve">“Pattern-</w:t>
      </w:r>
      <w:r>
        <w:t xml:space="preserve">Oriented</w:t>
      </w:r>
      <w:r>
        <w:t xml:space="preserve"> </w:t>
      </w:r>
      <w:r>
        <w:t xml:space="preserve">Modeling</w:t>
      </w:r>
      <w:r>
        <w:t xml:space="preserve"> </w:t>
      </w:r>
      <w:r>
        <w:t xml:space="preserve">of</w:t>
      </w:r>
      <w:r>
        <w:t xml:space="preserve"> </w:t>
      </w:r>
      <w:r>
        <w:t xml:space="preserve">Agent</w:t>
      </w:r>
      <w:r>
        <w:t xml:space="preserve">-</w:t>
      </w:r>
      <w:r>
        <w:t xml:space="preserve">Based</w:t>
      </w:r>
      <w:r>
        <w:t xml:space="preserve"> </w:t>
      </w:r>
      <w:r>
        <w:t xml:space="preserve">Complex</w:t>
      </w:r>
      <w:r>
        <w:t xml:space="preserve"> </w:t>
      </w:r>
      <w:r>
        <w:t xml:space="preserve">Systems</w:t>
      </w:r>
      <w:r>
        <w:t xml:space="preserve">:</w:t>
      </w:r>
      <w:r>
        <w:t xml:space="preserve"> </w:t>
      </w:r>
      <w:r>
        <w:t xml:space="preserve">Lessons</w:t>
      </w:r>
      <w:r>
        <w:t xml:space="preserve"> </w:t>
      </w:r>
      <w:r>
        <w:t xml:space="preserve">from</w:t>
      </w:r>
      <w:r>
        <w:t xml:space="preserve"> </w:t>
      </w:r>
      <w:r>
        <w:t xml:space="preserve">Ecology</w:t>
      </w:r>
      <w:r>
        <w:t xml:space="preserve">.”</w:t>
      </w:r>
      <w:r>
        <w:t xml:space="preserve"> </w:t>
      </w:r>
      <w:r>
        <w:rPr>
          <w:i/>
          <w:iCs/>
        </w:rPr>
        <w:t xml:space="preserve">Science</w:t>
      </w:r>
      <w:r>
        <w:t xml:space="preserve"> </w:t>
      </w:r>
      <w:r>
        <w:t xml:space="preserve">310 (5750): 987–91.</w:t>
      </w:r>
      <w:r>
        <w:t xml:space="preserve"> </w:t>
      </w:r>
      <w:hyperlink r:id="rId13">
        <w:r>
          <w:rPr>
            <w:rStyle w:val="Hyperlink"/>
          </w:rPr>
          <w:t xml:space="preserve">https://doi.org/10.1126/science.1116681</w:t>
        </w:r>
      </w:hyperlink>
      <w:r>
        <w:t xml:space="preserve">.</w:t>
      </w:r>
    </w:p>
    <w:bookmarkEnd w:id="14"/>
    <w:bookmarkEnd w:id="15"/>
    <w:bookmarkEnd w:id="16"/>
    <w:bookmarkEnd w:id="1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ecolmodel.2010.08.019" TargetMode="External" /><Relationship Type="http://schemas.openxmlformats.org/officeDocument/2006/relationships/hyperlink" Id="rId13" Target="https://doi.org/10.1126/science.1116681" TargetMode="External" /><Relationship Type="http://schemas.openxmlformats.org/officeDocument/2006/relationships/hyperlink" Id="rId11" Target="https://doi.org/10.18564/jasss.4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2026-05-22T15:47:51Z</dcterms:created>
  <dcterms:modified xsi:type="dcterms:W3CDTF">2026-05-22T15:47:51Z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