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 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 et al. 2017)</w:t>
      </w:r>
      <w:r>
        <w:t xml:space="preserve">. These interactions follow established predator–prey theory in which consumption arises from encounter processes and functional responses linking prey availability to predator intake</w:t>
      </w:r>
      <w:r>
        <w:t xml:space="preserve"> </w:t>
      </w:r>
      <w:r>
        <w:t xml:space="preserve">(Diz-Pita and Otero-Espinar 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 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31"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30"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Start w:id="29" w:name="refs"/>
    <w:bookmarkStart w:id="25"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24">
        <w:r>
          <w:rPr>
            <w:rStyle w:val="Hyperlink"/>
          </w:rPr>
          <w:t xml:space="preserve">https://doi.org/10.3390/math9151783</w:t>
        </w:r>
      </w:hyperlink>
      <w:r>
        <w:t xml:space="preserve">.</w:t>
      </w:r>
    </w:p>
    <w:bookmarkEnd w:id="25"/>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27">
        <w:r>
          <w:rPr>
            <w:rStyle w:val="Hyperlink"/>
          </w:rPr>
          <w:t xml:space="preserve">https://doi.org/10.1002/ece3.3250</w:t>
        </w:r>
      </w:hyperlink>
      <w:r>
        <w:t xml:space="preserve">.</w:t>
      </w:r>
    </w:p>
    <w:bookmarkEnd w:id="28"/>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02/ece3.3250" TargetMode="External" /><Relationship Type="http://schemas.openxmlformats.org/officeDocument/2006/relationships/hyperlink" Id="rId24" Target="https://doi.org/10.3390/math9151783"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02/ece3.3250" TargetMode="External" /><Relationship Type="http://schemas.openxmlformats.org/officeDocument/2006/relationships/hyperlink" Id="rId24" Target="https://doi.org/10.3390/math91517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2026-05-22T15:48:06Z</dcterms:created>
  <dcterms:modified xsi:type="dcterms:W3CDTF">2026-05-22T15:48:06Z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