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 et al. 2004)</w:t>
      </w:r>
      <w:r>
        <w:t xml:space="preserve"> </w:t>
      </w:r>
      <w:r>
        <w:t xml:space="preserve">and observed behavioral responses of fish to hydrodynamic conditions during movement</w:t>
      </w:r>
      <w:r>
        <w:t xml:space="preserve"> </w:t>
      </w:r>
      <w:r>
        <w:t xml:space="preserve">(Gibson et al. 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 et al. 2004; Gibson et al. 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9"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Start w:id="28" w:name="refs"/>
    <w:bookmarkStart w:id="2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5">
        <w:r>
          <w:rPr>
            <w:rStyle w:val="Hyperlink"/>
          </w:rPr>
          <w:t xml:space="preserve">https://doi.org/10.1890/03-9000</w:t>
        </w:r>
      </w:hyperlink>
      <w:r>
        <w:t xml:space="preserve">.</w:t>
      </w:r>
    </w:p>
    <w:bookmarkEnd w:id="26"/>
    <w:bookmarkStart w:id="27" w:name="ref-gibson_selective_2001"/>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890/03-9000"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890/03-90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2026-05-22T16:13:43Z</dcterms:created>
  <dcterms:modified xsi:type="dcterms:W3CDTF">2026-05-22T16:13:43Z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