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modeling-toolkit"/>
    <w:p>
      <w:pPr>
        <w:pStyle w:val="Heading1"/>
      </w:pP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13" w:name="best-practices"/>
    <w:p>
      <w:pPr>
        <w:pStyle w:val="Heading2"/>
      </w:pP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9" w:name="odd-protocol"/>
    <w:p>
      <w:pPr>
        <w:pStyle w:val="Heading3"/>
      </w:pP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(Grimm et al. 2006, 2010, 2020)</w:t>
      </w:r>
      <w:r>
        <w:t xml:space="preserve"> </w:t>
      </w:r>
      <w:r>
        <w:t xml:space="preserve">is the standard documentation framework for agent-based models. It covers seven elements in a fixed order:</w:t>
      </w:r>
    </w:p>
    <w:p>
      <w:pPr>
        <w:pStyle w:val="Compact"/>
        <w:numPr>
          <w:ilvl w:val="0"/>
          <w:numId w:val="1001"/>
        </w:numPr>
      </w:pPr>
      <w:r>
        <w:t xml:space="preserve">Purpose and patterns</w:t>
      </w:r>
    </w:p>
    <w:p>
      <w:pPr>
        <w:pStyle w:val="Compact"/>
        <w:numPr>
          <w:ilvl w:val="0"/>
          <w:numId w:val="1001"/>
        </w:numPr>
      </w:pPr>
      <w:r>
        <w:t xml:space="preserve">Entities, state variables, and scales</w:t>
      </w:r>
    </w:p>
    <w:p>
      <w:pPr>
        <w:pStyle w:val="Compact"/>
        <w:numPr>
          <w:ilvl w:val="0"/>
          <w:numId w:val="1001"/>
        </w:numPr>
      </w:pPr>
      <w:r>
        <w:t xml:space="preserve">Process overview and scheduling</w:t>
      </w:r>
    </w:p>
    <w:p>
      <w:pPr>
        <w:pStyle w:val="Compact"/>
        <w:numPr>
          <w:ilvl w:val="0"/>
          <w:numId w:val="1001"/>
        </w:numPr>
      </w:pPr>
      <w:r>
        <w:t xml:space="preserve">Design concepts</w:t>
      </w:r>
    </w:p>
    <w:p>
      <w:pPr>
        <w:pStyle w:val="Compact"/>
        <w:numPr>
          <w:ilvl w:val="0"/>
          <w:numId w:val="1001"/>
        </w:numPr>
      </w:pPr>
      <w:r>
        <w:t xml:space="preserve">Initialization</w:t>
      </w:r>
    </w:p>
    <w:p>
      <w:pPr>
        <w:pStyle w:val="Compact"/>
        <w:numPr>
          <w:ilvl w:val="0"/>
          <w:numId w:val="1001"/>
        </w:numPr>
      </w:pPr>
      <w:r>
        <w:t xml:space="preserve">Input data</w:t>
      </w:r>
    </w:p>
    <w:p>
      <w:pPr>
        <w:pStyle w:val="Compact"/>
        <w:numPr>
          <w:ilvl w:val="0"/>
          <w:numId w:val="1001"/>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9"/>
    <w:bookmarkStart w:id="10" w:name="modular-design"/>
    <w:p>
      <w:pPr>
        <w:pStyle w:val="Heading3"/>
      </w:pP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002"/>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002"/>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002"/>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10"/>
    <w:bookmarkStart w:id="11" w:name="model-file-structure"/>
    <w:p>
      <w:pPr>
        <w:pStyle w:val="Heading3"/>
      </w:pP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11"/>
    <w:bookmarkStart w:id="12" w:name="X7345d758567876b3e5a68badd8abda71b9a2d98"/>
    <w:p>
      <w:pPr>
        <w:pStyle w:val="Heading3"/>
      </w:pP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(Grimm et al. 2005)</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003"/>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003"/>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003"/>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004"/>
        </w:numPr>
      </w:pPr>
      <w:r>
        <w:t xml:space="preserve">Use BehaviorSpace to vary one parameter at a time across its plausible range</w:t>
      </w:r>
    </w:p>
    <w:p>
      <w:pPr>
        <w:pStyle w:val="Compact"/>
        <w:numPr>
          <w:ilvl w:val="0"/>
          <w:numId w:val="1004"/>
        </w:numPr>
      </w:pPr>
      <w:r>
        <w:t xml:space="preserve">Hold all other parameters at nominal values</w:t>
      </w:r>
    </w:p>
    <w:p>
      <w:pPr>
        <w:pStyle w:val="Compact"/>
        <w:numPr>
          <w:ilvl w:val="0"/>
          <w:numId w:val="1004"/>
        </w:numPr>
      </w:pPr>
      <w:r>
        <w:t xml:space="preserve">Confirm that outputs respond in the expected direction and magnitude</w:t>
      </w:r>
    </w:p>
    <w:p>
      <w:pPr>
        <w:pStyle w:val="Compact"/>
        <w:numPr>
          <w:ilvl w:val="0"/>
          <w:numId w:val="1004"/>
        </w:numPr>
      </w:pPr>
      <w:r>
        <w:t xml:space="preserve">Parameters with high sensitivity deserve careful empirical grounding</w:t>
      </w:r>
    </w:p>
    <w:p>
      <w:pPr>
        <w:pStyle w:val="Compact"/>
        <w:numPr>
          <w:ilvl w:val="0"/>
          <w:numId w:val="1004"/>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12"/>
    <w:bookmarkEnd w:id="13"/>
    <w:bookmarkStart w:id="14" w:name="co-production-and-transparency"/>
    <w:p>
      <w:pPr>
        <w:pStyle w:val="Heading2"/>
      </w:pP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005"/>
        </w:numPr>
      </w:pPr>
      <w:r>
        <w:t xml:space="preserve">Involve domain experts, local knowledge holders, and end users in defining behavioral rules before implementation, not in reviewing outputs after the fact</w:t>
      </w:r>
    </w:p>
    <w:p>
      <w:pPr>
        <w:pStyle w:val="Compact"/>
        <w:numPr>
          <w:ilvl w:val="0"/>
          <w:numId w:val="1005"/>
        </w:numPr>
      </w:pPr>
      <w:r>
        <w:t xml:space="preserve">Document every assumption explicitly at the submodel level so non-modelers can evaluate whether it reflects their system</w:t>
      </w:r>
    </w:p>
    <w:p>
      <w:pPr>
        <w:pStyle w:val="Compact"/>
        <w:numPr>
          <w:ilvl w:val="0"/>
          <w:numId w:val="1005"/>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14"/>
    <w:bookmarkStart w:id="15" w:name="version-control"/>
    <w:p>
      <w:pPr>
        <w:pStyle w:val="Heading2"/>
      </w:pP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006"/>
        </w:numPr>
      </w:pPr>
      <w:r>
        <w:t xml:space="preserve">Create a repository before writing any code</w:t>
      </w:r>
    </w:p>
    <w:p>
      <w:pPr>
        <w:pStyle w:val="Compact"/>
        <w:numPr>
          <w:ilvl w:val="0"/>
          <w:numId w:val="1006"/>
        </w:numPr>
      </w:pPr>
      <w:r>
        <w:t xml:space="preserve">Commit after every meaningful change with a descriptive message explaining what changed and why</w:t>
      </w:r>
    </w:p>
    <w:p>
      <w:pPr>
        <w:pStyle w:val="Compact"/>
        <w:numPr>
          <w:ilvl w:val="0"/>
          <w:numId w:val="1006"/>
        </w:numPr>
      </w:pPr>
      <w:r>
        <w:t xml:space="preserve">Use branches for major new features or submodel additions</w:t>
      </w:r>
    </w:p>
    <w:p>
      <w:pPr>
        <w:pStyle w:val="Compact"/>
        <w:numPr>
          <w:ilvl w:val="0"/>
          <w:numId w:val="1006"/>
        </w:numPr>
      </w:pPr>
      <w:r>
        <w:t xml:space="preserve">Tag a release at every manuscript submission or scenario run</w:t>
      </w:r>
    </w:p>
    <w:p>
      <w:pPr>
        <w:pStyle w:val="Compact"/>
        <w:numPr>
          <w:ilvl w:val="0"/>
          <w:numId w:val="1006"/>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15"/>
    <w:bookmarkStart w:id="16" w:name="learning-references"/>
    <w:p>
      <w:pPr>
        <w:pStyle w:val="Heading2"/>
      </w:pP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007"/>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007"/>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007"/>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007"/>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007"/>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007"/>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007"/>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16"/>
    <w:bookmarkStart w:id="40" w:name="programming-resources"/>
    <w:p>
      <w:pPr>
        <w:pStyle w:val="Heading2"/>
      </w:pPr>
      <w:r>
        <w:t xml:space="preserve">Programming Resources</w:t>
      </w:r>
    </w:p>
    <w:bookmarkStart w:id="23" w:name="netlogo"/>
    <w:p>
      <w:pPr>
        <w:pStyle w:val="Heading3"/>
      </w:pPr>
      <w:r>
        <w:t xml:space="preserve">NetLogo</w:t>
      </w:r>
    </w:p>
    <w:p>
      <w:pPr>
        <w:pStyle w:val="FirstParagraph"/>
      </w:pPr>
      <w:hyperlink r:id="rId17">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008"/>
        </w:numPr>
      </w:pPr>
      <w:hyperlink r:id="rId18">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008"/>
        </w:numPr>
      </w:pPr>
      <w:hyperlink r:id="rId19">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008"/>
        </w:numPr>
      </w:pPr>
      <w:hyperlink r:id="rId20">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008"/>
        </w:numPr>
      </w:pPr>
      <w:hyperlink r:id="rId21">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008"/>
        </w:numPr>
      </w:pPr>
      <w:hyperlink r:id="rId22">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009"/>
        </w:numPr>
      </w:pPr>
      <w:r>
        <w:t xml:space="preserve">Performance degrades with very large agent populations (tens of thousands of agents with complex behavioral rules)</w:t>
      </w:r>
    </w:p>
    <w:p>
      <w:pPr>
        <w:pStyle w:val="Compact"/>
        <w:numPr>
          <w:ilvl w:val="0"/>
          <w:numId w:val="1009"/>
        </w:numPr>
      </w:pPr>
      <w:r>
        <w:t xml:space="preserve">No native integration with machine learning pipelines or external APIs</w:t>
      </w:r>
    </w:p>
    <w:p>
      <w:pPr>
        <w:pStyle w:val="Compact"/>
        <w:numPr>
          <w:ilvl w:val="0"/>
          <w:numId w:val="1009"/>
        </w:numPr>
      </w:pPr>
      <w:r>
        <w:t xml:space="preserve">Sharing models with non-NetLogo users requires them to install the software</w:t>
      </w:r>
    </w:p>
    <w:p>
      <w:pPr>
        <w:pStyle w:val="Compact"/>
        <w:numPr>
          <w:ilvl w:val="0"/>
          <w:numId w:val="1009"/>
        </w:numPr>
      </w:pPr>
      <w:r>
        <w:t xml:space="preserve">Parallelization is not straightforward</w:t>
      </w:r>
    </w:p>
    <w:p>
      <w:r>
        <w:pict>
          <v:rect style="width:0;height:1.5pt" o:hralign="center" o:hrstd="t" o:hr="t"/>
        </w:pict>
      </w:r>
    </w:p>
    <w:bookmarkEnd w:id="23"/>
    <w:bookmarkStart w:id="31" w:name="r"/>
    <w:p>
      <w:pPr>
        <w:pStyle w:val="Heading3"/>
      </w:pPr>
      <w:r>
        <w:t xml:space="preserve">R</w:t>
      </w:r>
    </w:p>
    <w:p>
      <w:pPr>
        <w:pStyle w:val="FirstParagraph"/>
      </w:pPr>
      <w:hyperlink r:id="rId24">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010"/>
        </w:numPr>
      </w:pPr>
      <w:hyperlink r:id="rId25">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010"/>
        </w:numPr>
      </w:pPr>
      <w:hyperlink r:id="rId26">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010"/>
        </w:numPr>
      </w:pPr>
      <w:hyperlink r:id="rId27">
        <w:r>
          <w:rPr>
            <w:rStyle w:val="Hyperlink"/>
            <w:b/>
            <w:bCs/>
          </w:rPr>
          <w:t xml:space="preserve">ggplot2</w:t>
        </w:r>
      </w:hyperlink>
      <w:r>
        <w:t xml:space="preserve"> </w:t>
      </w:r>
      <w:r>
        <w:t xml:space="preserve">— Publication-quality visualization of simulation outputs.</w:t>
      </w:r>
    </w:p>
    <w:p>
      <w:pPr>
        <w:pStyle w:val="Compact"/>
        <w:numPr>
          <w:ilvl w:val="0"/>
          <w:numId w:val="1010"/>
        </w:numPr>
      </w:pPr>
      <w:hyperlink r:id="rId28">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011"/>
        </w:numPr>
      </w:pPr>
      <w:hyperlink r:id="rId29">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011"/>
        </w:numPr>
      </w:pPr>
      <w:hyperlink r:id="rId30">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012"/>
        </w:numPr>
      </w:pPr>
      <w:r>
        <w:t xml:space="preserve">No native agent scheduling or spatial grid primitives</w:t>
      </w:r>
    </w:p>
    <w:p>
      <w:pPr>
        <w:pStyle w:val="Compact"/>
        <w:numPr>
          <w:ilvl w:val="0"/>
          <w:numId w:val="1012"/>
        </w:numPr>
      </w:pPr>
      <w:r>
        <w:t xml:space="preserve">No real-time visual interface during simulation</w:t>
      </w:r>
    </w:p>
    <w:p>
      <w:pPr>
        <w:pStyle w:val="Compact"/>
        <w:numPr>
          <w:ilvl w:val="0"/>
          <w:numId w:val="1012"/>
        </w:numPr>
      </w:pPr>
      <w:r>
        <w:t xml:space="preserve">Memory management requires deliberate design for large output files</w:t>
      </w:r>
    </w:p>
    <w:p>
      <w:pPr>
        <w:pStyle w:val="Compact"/>
        <w:numPr>
          <w:ilvl w:val="0"/>
          <w:numId w:val="1012"/>
        </w:numPr>
      </w:pPr>
      <w:r>
        <w:t xml:space="preserve">Slower than Python for compute-intensive simulations</w:t>
      </w:r>
    </w:p>
    <w:p>
      <w:r>
        <w:pict>
          <v:rect style="width:0;height:1.5pt" o:hralign="center" o:hrstd="t" o:hr="t"/>
        </w:pict>
      </w:r>
    </w:p>
    <w:bookmarkEnd w:id="31"/>
    <w:bookmarkStart w:id="38" w:name="python"/>
    <w:p>
      <w:pPr>
        <w:pStyle w:val="Heading3"/>
      </w:pP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013"/>
        </w:numPr>
      </w:pPr>
      <w:hyperlink r:id="rId32">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013"/>
        </w:numPr>
      </w:pPr>
      <w:hyperlink r:id="rId33">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013"/>
        </w:numPr>
      </w:pPr>
      <w:hyperlink r:id="rId34">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013"/>
        </w:numPr>
      </w:pPr>
      <w:hyperlink r:id="rId35">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6">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014"/>
        </w:numPr>
      </w:pPr>
      <w:hyperlink r:id="rId37">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015"/>
        </w:numPr>
      </w:pPr>
      <w:r>
        <w:t xml:space="preserve">No built-in visual interface for watching emergent behavior during development</w:t>
      </w:r>
    </w:p>
    <w:p>
      <w:pPr>
        <w:pStyle w:val="Compact"/>
        <w:numPr>
          <w:ilvl w:val="0"/>
          <w:numId w:val="1015"/>
        </w:numPr>
      </w:pPr>
      <w:r>
        <w:t xml:space="preserve">More setup required than NetLogo for spatial grid-based models</w:t>
      </w:r>
    </w:p>
    <w:p>
      <w:pPr>
        <w:pStyle w:val="Compact"/>
        <w:numPr>
          <w:ilvl w:val="0"/>
          <w:numId w:val="1015"/>
        </w:numPr>
      </w:pPr>
      <w:r>
        <w:t xml:space="preserve">Larger codebase for equivalent functionality compared to NetLogo</w:t>
      </w:r>
    </w:p>
    <w:p>
      <w:r>
        <w:pict>
          <v:rect style="width:0;height:1.5pt" o:hralign="center" o:hrstd="t" o:hr="t"/>
        </w:pict>
      </w:r>
    </w:p>
    <w:bookmarkEnd w:id="38"/>
    <w:bookmarkStart w:id="39" w:name="how-to-choose-a-programming-language"/>
    <w:p>
      <w:pPr>
        <w:pStyle w:val="Heading3"/>
      </w:pPr>
      <w:r>
        <w:t xml:space="preserve">How to Choose a Programming Language</w:t>
      </w:r>
    </w:p>
    <w:p>
      <w:pPr>
        <w:pStyle w:val="FirstParagraph"/>
      </w:pPr>
      <w:r>
        <w:rPr>
          <w:b/>
          <w:bCs/>
        </w:rPr>
        <w:t xml:space="preserve">When to use Python for ABMs.</w:t>
      </w:r>
    </w:p>
    <w:p>
      <w:pPr>
        <w:pStyle w:val="Compact"/>
        <w:numPr>
          <w:ilvl w:val="0"/>
          <w:numId w:val="1016"/>
        </w:numPr>
      </w:pPr>
      <w:r>
        <w:t xml:space="preserve">Your model needs to integrate with machine learning pipelines, APIs, or external data streams</w:t>
      </w:r>
    </w:p>
    <w:p>
      <w:pPr>
        <w:pStyle w:val="Compact"/>
        <w:numPr>
          <w:ilvl w:val="0"/>
          <w:numId w:val="1016"/>
        </w:numPr>
      </w:pPr>
      <w:r>
        <w:t xml:space="preserve">You are building a model that will be deployed as a web service or run on a remote server</w:t>
      </w:r>
    </w:p>
    <w:p>
      <w:pPr>
        <w:pStyle w:val="Compact"/>
        <w:numPr>
          <w:ilvl w:val="0"/>
          <w:numId w:val="1016"/>
        </w:numPr>
      </w:pPr>
      <w:r>
        <w:t xml:space="preserve">Your team is more comfortable in Python than NetLogo or R</w:t>
      </w:r>
    </w:p>
    <w:p>
      <w:pPr>
        <w:pStyle w:val="Compact"/>
        <w:numPr>
          <w:ilvl w:val="0"/>
          <w:numId w:val="1016"/>
        </w:numPr>
      </w:pPr>
      <w:r>
        <w:t xml:space="preserve">You need fine-grained control over performance optimization (e.g., vectorized operations with NumPy, parallelization with multiprocessing)</w:t>
      </w:r>
    </w:p>
    <w:p>
      <w:pPr>
        <w:pStyle w:val="Compact"/>
        <w:numPr>
          <w:ilvl w:val="0"/>
          <w:numId w:val="1016"/>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017"/>
        </w:numPr>
      </w:pPr>
      <w:r>
        <w:t xml:space="preserve">You need a built-in spatial grid with patch primitives, GIS extension support, and visual debugging during development</w:t>
      </w:r>
    </w:p>
    <w:p>
      <w:pPr>
        <w:pStyle w:val="Compact"/>
        <w:numPr>
          <w:ilvl w:val="0"/>
          <w:numId w:val="1017"/>
        </w:numPr>
      </w:pPr>
      <w:r>
        <w:t xml:space="preserve">Your audience includes non-programmers who need to interact with the model through sliders and monitors</w:t>
      </w:r>
    </w:p>
    <w:p>
      <w:pPr>
        <w:pStyle w:val="Compact"/>
        <w:numPr>
          <w:ilvl w:val="0"/>
          <w:numId w:val="1017"/>
        </w:numPr>
      </w:pPr>
      <w:r>
        <w:t xml:space="preserve">You are prototyping behavioral rules and want to watch emergent behavior tick by tick</w:t>
      </w:r>
    </w:p>
    <w:p>
      <w:pPr>
        <w:pStyle w:val="Compact"/>
        <w:numPr>
          <w:ilvl w:val="0"/>
          <w:numId w:val="1017"/>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018"/>
        </w:numPr>
      </w:pPr>
      <w:r>
        <w:t xml:space="preserve">Your primary need is post-processing simulation outputs, not running the simulation itself</w:t>
      </w:r>
    </w:p>
    <w:p>
      <w:pPr>
        <w:pStyle w:val="Compact"/>
        <w:numPr>
          <w:ilvl w:val="0"/>
          <w:numId w:val="1018"/>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018"/>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9"/>
    <w:bookmarkEnd w:id="40"/>
    <w:bookmarkStart w:id="61" w:name="code-repositories-and-examples"/>
    <w:p>
      <w:pPr>
        <w:pStyle w:val="Heading2"/>
      </w:pP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41">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42">
              <w:r>
                <w:rPr>
                  <w:rStyle w:val="Hyperlink"/>
                </w:rPr>
                <w:t xml:space="preserve">GitHub</w:t>
              </w:r>
            </w:hyperlink>
            <w:r>
              <w:t xml:space="preserve"> </w:t>
            </w:r>
            <w:r>
              <w:t xml:space="preserve">|</w:t>
            </w:r>
            <w:r>
              <w:t xml:space="preserve"> </w:t>
            </w:r>
            <w:hyperlink r:id="rId43">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44">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45">
              <w:r>
                <w:rPr>
                  <w:rStyle w:val="Hyperlink"/>
                </w:rPr>
                <w:t xml:space="preserve">NetLogo</w:t>
              </w:r>
            </w:hyperlink>
            <w:r>
              <w:t xml:space="preserve"> </w:t>
            </w:r>
            <w:r>
              <w:t xml:space="preserve">|</w:t>
            </w:r>
            <w:r>
              <w:t xml:space="preserve"> </w:t>
            </w:r>
            <w:hyperlink r:id="rId46">
              <w:r>
                <w:rPr>
                  <w:rStyle w:val="Hyperlink"/>
                </w:rPr>
                <w:t xml:space="preserve">R</w:t>
              </w:r>
            </w:hyperlink>
            <w:r>
              <w:t xml:space="preserve"> </w:t>
            </w:r>
            <w:r>
              <w:t xml:space="preserve">|</w:t>
            </w:r>
            <w:r>
              <w:t xml:space="preserve"> </w:t>
            </w:r>
            <w:hyperlink r:id="rId47">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48">
              <w:r>
                <w:rPr>
                  <w:rStyle w:val="Hyperlink"/>
                </w:rPr>
                <w:t xml:space="preserve">NetLogo</w:t>
              </w:r>
            </w:hyperlink>
            <w:r>
              <w:t xml:space="preserve"> </w:t>
            </w:r>
            <w:r>
              <w:t xml:space="preserve">|</w:t>
            </w:r>
            <w:r>
              <w:t xml:space="preserve"> </w:t>
            </w:r>
            <w:hyperlink r:id="rId49">
              <w:r>
                <w:rPr>
                  <w:rStyle w:val="Hyperlink"/>
                </w:rPr>
                <w:t xml:space="preserve">R</w:t>
              </w:r>
            </w:hyperlink>
            <w:r>
              <w:t xml:space="preserve"> </w:t>
            </w:r>
            <w:r>
              <w:t xml:space="preserve">|</w:t>
            </w:r>
            <w:r>
              <w:t xml:space="preserve"> </w:t>
            </w:r>
            <w:hyperlink r:id="rId5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51">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Start w:id="60" w:name="refs"/>
    <w:bookmarkStart w:id="53"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52">
        <w:r>
          <w:rPr>
            <w:rStyle w:val="Hyperlink"/>
          </w:rPr>
          <w:t xml:space="preserve">https://doi.org/10.1016/j.ecolmodel.2006.04.023</w:t>
        </w:r>
      </w:hyperlink>
      <w:r>
        <w:t xml:space="preserve">.</w:t>
      </w:r>
    </w:p>
    <w:bookmarkEnd w:id="53"/>
    <w:bookmarkStart w:id="55"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54">
        <w:r>
          <w:rPr>
            <w:rStyle w:val="Hyperlink"/>
          </w:rPr>
          <w:t xml:space="preserve">https://doi.org/10.1016/j.ecolmodel.2010.08.019</w:t>
        </w:r>
      </w:hyperlink>
      <w:r>
        <w:t xml:space="preserve">.</w:t>
      </w:r>
    </w:p>
    <w:bookmarkEnd w:id="55"/>
    <w:bookmarkStart w:id="57"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56">
        <w:r>
          <w:rPr>
            <w:rStyle w:val="Hyperlink"/>
          </w:rPr>
          <w:t xml:space="preserve">https://doi.org/10.18564/jasss.4259</w:t>
        </w:r>
      </w:hyperlink>
      <w:r>
        <w:t xml:space="preserve">.</w:t>
      </w:r>
    </w:p>
    <w:bookmarkEnd w:id="57"/>
    <w:bookmarkStart w:id="59"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58">
        <w:r>
          <w:rPr>
            <w:rStyle w:val="Hyperlink"/>
          </w:rPr>
          <w:t xml:space="preserve">https://doi.org/10.1126/science.1116681</w:t>
        </w:r>
      </w:hyperlink>
      <w:r>
        <w:t xml:space="preserve">.</w:t>
      </w:r>
    </w:p>
    <w:bookmarkEnd w:id="59"/>
    <w:bookmarkEnd w:id="60"/>
    <w:bookmarkEnd w:id="61"/>
    <w:bookmarkEnd w:id="6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52" Target="https://doi.org/10.1016/j.ecolmodel.2006.04.023" TargetMode="External" /><Relationship Type="http://schemas.openxmlformats.org/officeDocument/2006/relationships/hyperlink" Id="rId54" Target="https://doi.org/10.1016/j.ecolmodel.2010.08.019" TargetMode="External" /><Relationship Type="http://schemas.openxmlformats.org/officeDocument/2006/relationships/hyperlink" Id="rId58" Target="https://doi.org/10.1126/science.1116681" TargetMode="External" /><Relationship Type="http://schemas.openxmlformats.org/officeDocument/2006/relationships/hyperlink" Id="rId56" Target="https://doi.org/10.18564/jasss.4259"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52" Target="https://doi.org/10.1016/j.ecolmodel.2006.04.023" TargetMode="External" /><Relationship Type="http://schemas.openxmlformats.org/officeDocument/2006/relationships/hyperlink" Id="rId54" Target="https://doi.org/10.1016/j.ecolmodel.2010.08.019" TargetMode="External" /><Relationship Type="http://schemas.openxmlformats.org/officeDocument/2006/relationships/hyperlink" Id="rId58" Target="https://doi.org/10.1126/science.1116681" TargetMode="External" /><Relationship Type="http://schemas.openxmlformats.org/officeDocument/2006/relationships/hyperlink" Id="rId56" Target="https://doi.org/10.18564/jasss.4259"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2026-05-22T16:13:54Z</dcterms:created>
  <dcterms:modified xsi:type="dcterms:W3CDTF">2026-05-22T16:13:54Z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