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 and Winfield 1985)</w:t>
      </w:r>
      <w:r>
        <w:t xml:space="preserve">. Filtration capacity scales with body size, metabolic demand, and digestion efficiency, consistent with bioenergetic constraints on intake and processing capacity</w:t>
      </w:r>
      <w:r>
        <w:t xml:space="preserve"> </w:t>
      </w:r>
      <w:r>
        <w:t xml:space="preserve">(Norin and Gamperl 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 Piercy, et al. 2015; Kjelland, Woodley, et al. 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 et al. 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 and Le Lay 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 and Winfield 1985)</w:t>
      </w:r>
      <w:r>
        <w:t xml:space="preserve"> </w:t>
      </w:r>
      <w:r>
        <w:t xml:space="preserve">and observed density-dependent feeding dynamics in SPM-mediated</w:t>
      </w:r>
      <w:r>
        <w:t xml:space="preserve"> </w:t>
      </w:r>
      <w:r>
        <w:t xml:space="preserve">systems</w:t>
      </w:r>
      <w:r>
        <w:t xml:space="preserve"> </w:t>
      </w:r>
      <w:r>
        <w:t xml:space="preserve">(Kjelland, Piercy, et al. 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 et al. 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 and Brandt 1980)</w:t>
      </w:r>
      <w:r>
        <w:t xml:space="preserve">. Filtration scales with size and metabolic</w:t>
      </w:r>
      <w:r>
        <w:t xml:space="preserve"> </w:t>
      </w:r>
      <w:r>
        <w:t xml:space="preserve">demand consistent with bioenergetic scaling principles</w:t>
      </w:r>
      <w:r>
        <w:t xml:space="preserve"> </w:t>
      </w:r>
      <w:r>
        <w:t xml:space="preserve">(Norin and Gamperl 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 Piercy, et al. 2015; Kjelland, Woodley, et al. 2015; Lavoie et al. 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 Piercy, et al. 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 and Gamperl 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(9.1)</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 and Le Lay 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(9.2)</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(9.3)</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(9.4)</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(9.5)</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(9.6)</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(9.7)</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 et al. (2013)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(9.8)</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(9.9)</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(9.10)</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(9.11)</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41"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Start w:id="40" w:name="refs"/>
    <w:bookmarkStart w:id="27"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26">
        <w:r>
          <w:rPr>
            <w:rStyle w:val="Hyperlink"/>
          </w:rPr>
          <w:t xml:space="preserve">https://doi.org/10.1111/j.1365-2664.2008.01524.x</w:t>
        </w:r>
      </w:hyperlink>
      <w:r>
        <w:t xml:space="preserve">.</w:t>
      </w:r>
    </w:p>
    <w:bookmarkEnd w:id="27"/>
    <w:bookmarkStart w:id="29"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28">
        <w:r>
          <w:rPr>
            <w:rStyle w:val="Hyperlink"/>
          </w:rPr>
          <w:t xml:space="preserve">https://doi.org/10.1139/f80-023</w:t>
        </w:r>
      </w:hyperlink>
      <w:r>
        <w:t xml:space="preserve">.</w:t>
      </w:r>
    </w:p>
    <w:bookmarkEnd w:id="29"/>
    <w:bookmarkStart w:id="31"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30">
        <w:r>
          <w:rPr>
            <w:rStyle w:val="Hyperlink"/>
          </w:rPr>
          <w:t xml:space="preserve">https://doi.org/10.1016/j.ecolmodel.2015.03.012</w:t>
        </w:r>
      </w:hyperlink>
      <w:r>
        <w:t xml:space="preserve">.</w:t>
      </w:r>
    </w:p>
    <w:bookmarkEnd w:id="31"/>
    <w:bookmarkStart w:id="3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32">
        <w:r>
          <w:rPr>
            <w:rStyle w:val="Hyperlink"/>
          </w:rPr>
          <w:t xml:space="preserve">https://doi.org/10.1007/s10669-015-9557-2</w:t>
        </w:r>
      </w:hyperlink>
      <w:r>
        <w:t xml:space="preserve">.</w:t>
      </w:r>
    </w:p>
    <w:bookmarkEnd w:id="33"/>
    <w:bookmarkStart w:id="3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34">
        <w:r>
          <w:rPr>
            <w:rStyle w:val="Hyperlink"/>
          </w:rPr>
          <w:t xml:space="preserve">https://doi.org/10.1021/es403103t</w:t>
        </w:r>
      </w:hyperlink>
      <w:r>
        <w:t xml:space="preserve">.</w:t>
      </w:r>
    </w:p>
    <w:bookmarkEnd w:id="35"/>
    <w:bookmarkStart w:id="37"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36">
        <w:r>
          <w:rPr>
            <w:rStyle w:val="Hyperlink"/>
          </w:rPr>
          <w:t xml:space="preserve">https://doi.org/10.1111/1365-2435.12996</w:t>
        </w:r>
      </w:hyperlink>
      <w:r>
        <w:t xml:space="preserve">.</w:t>
      </w:r>
    </w:p>
    <w:bookmarkEnd w:id="37"/>
    <w:bookmarkStart w:id="3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38">
        <w:r>
          <w:rPr>
            <w:rStyle w:val="Hyperlink"/>
          </w:rPr>
          <w:t xml:space="preserve">https://doi.org/10.1007/978-94-011-7918-8_3</w:t>
        </w:r>
      </w:hyperlink>
      <w:r>
        <w:t xml:space="preserve">.</w:t>
      </w:r>
    </w:p>
    <w:bookmarkEnd w:id="39"/>
    <w:bookmarkEnd w:id="40"/>
    <w:bookmarkEnd w:id="41"/>
    <w:bookmarkEnd w:id="4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2026-07-05T19:52:07Z</dcterms:created>
  <dcterms:modified xsi:type="dcterms:W3CDTF">2026-07-05T19:52:07Z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