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Calibri" w:cs="Calibri" w:eastAsia="Calibri" w:hAnsi="Calibri"/>
          <w:b/>
          <w:bCs/>
          <w:color w:val="0a3d62"/>
          <w:sz w:val="44"/>
          <w:szCs w:val="44"/>
        </w:rPr>
        <w:t xml:space="preserve">GoFish Behavioral Function Library</w:t>
      </w:r>
    </w:p>
    <w:p>
      <w:r>
        <w:rPr>
          <w:rFonts w:ascii="Calibri" w:cs="Calibri" w:eastAsia="Calibri" w:hAnsi="Calibri"/>
          <w:i/>
          <w:iCs/>
          <w:color w:val="0c7aba"/>
          <w:sz w:val="20"/>
          <w:szCs w:val="20"/>
        </w:rPr>
        <w:t xml:space="preserve">Quintana, V. — University of Maine · USACE ERDC</w:t>
      </w:r>
    </w:p>
    <w:p>
      <w:r>
        <w:t xml:space="preserve"/>
      </w:r>
    </w:p>
    <w:p>
      <w:pPr>
        <w:pStyle w:val="Heading2"/>
      </w:pPr>
      <w:r>
        <w:rPr>
          <w:rFonts w:ascii="Calibri" w:cs="Calibri" w:eastAsia="Calibri" w:hAnsi="Calibri"/>
          <w:b/>
          <w:bCs/>
          <w:color w:val="0a3d62"/>
          <w:sz w:val="32"/>
          <w:szCs w:val="32"/>
        </w:rPr>
        <w:t xml:space="preserve">Chapter Overview</w:t>
      </w:r>
    </w:p>
    <w:p>
      <w:pPr>
        <w:pStyle w:val="Heading3"/>
      </w:pPr>
      <w:r>
        <w:rPr>
          <w:rFonts w:ascii="Calibri" w:cs="Calibri" w:eastAsia="Calibri" w:hAnsi="Calibri"/>
          <w:b/>
          <w:bCs/>
          <w:color w:val="0c7aba"/>
          <w:sz w:val="26"/>
          <w:szCs w:val="26"/>
        </w:rPr>
        <w:t xml:space="preserve">Submodel Description</w:t>
      </w:r>
    </w:p>
    <w:p>
      <w:pPr>
        <w:pStyle w:val="Heading4"/>
      </w:pPr>
      <w:r>
        <w:rPr>
          <w:rFonts w:ascii="Calibri" w:cs="Calibri" w:eastAsia="Calibri" w:hAnsi="Calibri"/>
          <w:b/>
          <w:bCs/>
          <w:i/>
          <w:iCs/>
          <w:color w:val="0c7aba"/>
          <w:sz w:val="24"/>
          <w:szCs w:val="24"/>
        </w:rPr>
        <w:t xml:space="preserve">Parameter Details</w:t>
      </w:r>
    </w:p>
    <w:p>
      <w:pPr>
        <w:pStyle w:val="Normal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This document describes a behavioral function for migratory fish agent-based models. Each function is documented using the ODD protocol and implemented in NetLogo, R, and Python.</w:t>
      </w:r>
    </w:p>
    <w:p>
      <w:r>
        <w:t xml:space="preserve"/>
      </w:r>
    </w:p>
    <w:p>
      <w:pPr>
        <w:pStyle w:val="verbatim"/>
      </w:pPr>
      <w:r>
        <w:rPr>
          <w:rFonts w:ascii="Courier New" w:cs="Courier New" w:eastAsia="Courier New" w:hAnsi="Courier New"/>
          <w:color w:val="0a3d62"/>
          <w:sz w:val="18"/>
          <w:szCs w:val="18"/>
        </w:rPr>
        <w:t xml:space="preserve">to calculate-metabolism</w:t>
      </w:r>
    </w:p>
    <w:p>
      <w:pPr>
        <w:pStyle w:val="verbatim"/>
      </w:pPr>
      <w:r>
        <w:rPr>
          <w:rFonts w:ascii="Courier New" w:cs="Courier New" w:eastAsia="Courier New" w:hAnsi="Courier New"/>
          <w:color w:val="0a3d62"/>
          <w:sz w:val="18"/>
          <w:szCs w:val="18"/>
        </w:rPr>
        <w:t xml:space="preserve">  set metabolism-rate Met-base * size-factor * temp-factor</w:t>
      </w:r>
    </w:p>
    <w:p>
      <w:pPr>
        <w:pStyle w:val="verbatim"/>
      </w:pPr>
      <w:r>
        <w:rPr>
          <w:rFonts w:ascii="Courier New" w:cs="Courier New" w:eastAsia="Courier New" w:hAnsi="Courier New"/>
          <w:color w:val="0a3d62"/>
          <w:sz w:val="18"/>
          <w:szCs w:val="18"/>
        </w:rPr>
        <w:t xml:space="preserve">end</w:t>
      </w:r>
    </w:p>
    <w:p>
      <w:r>
        <w:t xml:space="preserve"/>
      </w:r>
    </w:p>
    <w:p>
      <w:pPr>
        <w:pStyle w:val="Heading3"/>
      </w:pPr>
      <w:r>
        <w:rPr>
          <w:rFonts w:ascii="Calibri" w:cs="Calibri" w:eastAsia="Calibri" w:hAnsi="Calibri"/>
          <w:b/>
          <w:bCs/>
          <w:color w:val="0c7aba"/>
          <w:sz w:val="26"/>
          <w:szCs w:val="26"/>
        </w:rPr>
        <w:t xml:space="preserve">Sample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a3d62" w:sz="1"/>
              <w:left w:val="single" w:color="0a3d62" w:sz="1"/>
              <w:bottom w:val="single" w:color="0a3d62" w:sz="1"/>
              <w:right w:val="single" w:color="0a3d62" w:sz="1"/>
            </w:tcBorders>
            <w:shd w:fill="0a3d6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3120"/>
            <w:tcBorders>
              <w:top w:val="single" w:color="0a3d62" w:sz="1"/>
              <w:left w:val="single" w:color="0a3d62" w:sz="1"/>
              <w:bottom w:val="single" w:color="0a3d62" w:sz="1"/>
              <w:right w:val="single" w:color="0a3d62" w:sz="1"/>
            </w:tcBorders>
            <w:shd w:fill="0a3d6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  <w:tc>
          <w:tcPr>
            <w:tcW w:type="dxa" w:w="3120"/>
            <w:tcBorders>
              <w:top w:val="single" w:color="0a3d62" w:sz="1"/>
              <w:left w:val="single" w:color="0a3d62" w:sz="1"/>
              <w:bottom w:val="single" w:color="0a3d62" w:sz="1"/>
              <w:right w:val="single" w:color="0a3d62" w:sz="1"/>
            </w:tcBorders>
            <w:shd w:fill="0a3d6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Units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metabolism-rate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Metabolic rate per tick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energy units / tick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swim-efficiency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Swimming efficiency multiplier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dimensionless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Calibri" w:cs="Calibri" w:eastAsia="Calibri" w:hAnsi="Calibri"/>
        <w:color w:val="0c7aba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0ff" w:sz="6" w:space="4"/>
      </w:pBdr>
      <w:spacing w:after="240" w:before="480"/>
      <w:outlineLvl w:val="0"/>
    </w:pPr>
    <w:rPr>
      <w:rFonts w:ascii="Calibri" w:cs="Calibri" w:eastAsia="Calibri" w:hAnsi="Calibri"/>
      <w:b/>
      <w:bCs/>
      <w:color w:val="0a3d62"/>
      <w:sz w:val="44"/>
      <w:szCs w:val="44"/>
    </w:rPr>
  </w:style>
  <w:style w:type="paragraph" w:styleId="Heading2">
    <w:name w:val="Heading 2"/>
    <w:basedOn w:val="Normal"/>
    <w:next w:val="Normal"/>
    <w:qFormat/>
    <w:pPr>
      <w:pBdr>
        <w:bottom w:val="single" w:color="e8f4fd" w:sz="3" w:space="2"/>
      </w:pBdr>
      <w:spacing w:after="160" w:before="320"/>
      <w:outlineLvl w:val="1"/>
    </w:pPr>
    <w:rPr>
      <w:rFonts w:ascii="Calibri" w:cs="Calibri" w:eastAsia="Calibri" w:hAnsi="Calibri"/>
      <w:b/>
      <w:bCs/>
      <w:color w:val="0a3d62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Calibri" w:cs="Calibri" w:eastAsia="Calibri" w:hAnsi="Calibri"/>
      <w:b/>
      <w:bCs/>
      <w:color w:val="0c7aba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Calibri" w:cs="Calibri" w:eastAsia="Calibri" w:hAnsi="Calibri"/>
      <w:b/>
      <w:bCs/>
      <w:i/>
      <w:iCs/>
      <w:color w:val="0c7aba"/>
      <w:sz w:val="24"/>
      <w:szCs w:val="24"/>
    </w:rPr>
  </w:style>
  <w:style w:type="paragraph" w:styleId="Normal">
    <w:name w:val="Normal"/>
    <w:pPr>
      <w:spacing w:after="160" w:line="276"/>
    </w:pPr>
    <w:rPr>
      <w:rFonts w:ascii="Calibri" w:cs="Calibri" w:eastAsia="Calibri" w:hAnsi="Calibri"/>
      <w:color w:val="1a1a1a"/>
      <w:sz w:val="22"/>
      <w:szCs w:val="22"/>
    </w:rPr>
  </w:style>
  <w:style w:type="paragraph" w:styleId="verbatim">
    <w:name w:val="verbatim"/>
    <w:basedOn w:val="Normal"/>
    <w:pPr>
      <w:pBdr>
        <w:left w:val="single" w:color="1e90ff" w:sz="12" w:space="6"/>
      </w:pBdr>
      <w:shd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2026-05-22T15:39:16.310Z</dcterms:created>
  <dcterms:modified xsi:type="dcterms:W3CDTF">2026-05-22T15:39:16.311Z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