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7a0497ce761490cf7316c71067a1e1253ac822f"/>
    <w:p>
      <w:pPr>
        <w:pStyle w:val="Heading1"/>
      </w:pP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9">
        <w:r>
          <w:rPr>
            <w:rStyle w:val="Hyperlink"/>
          </w:rPr>
          <w:t xml:space="preserve">Quintana (2026)</w:t>
        </w:r>
      </w:hyperlink>
      <w:r>
        <w:t xml:space="preserve">, and hosted</w:t>
      </w:r>
      <w:r>
        <w:t xml:space="preserve"> </w:t>
      </w:r>
      <w:hyperlink r:id="rId10">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11">
        <w:r>
          <w:rPr>
            <w:rStyle w:val="Hyperlink"/>
          </w:rPr>
          <w:t xml:space="preserve">Mercury Risk Explorer</w:t>
        </w:r>
      </w:hyperlink>
      <w:r>
        <w:t xml:space="preserve">.</w:t>
      </w:r>
    </w:p>
    <w:bookmarkStart w:id="15" w:name="module-integration"/>
    <w:p>
      <w:pPr>
        <w:pStyle w:val="Heading2"/>
      </w:pP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943600" cy="59436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13" name="Picture"/>
            <a:graphic>
              <a:graphicData uri="http://schemas.openxmlformats.org/drawingml/2006/picture">
                <pic:pic>
                  <pic:nvPicPr>
                    <pic:cNvPr descr="images/Figure_4B5_ABM_Conceptual_Figure.png" id="14" name="Picture"/>
                    <pic:cNvPicPr>
                      <a:picLocks noChangeArrowheads="1" noChangeAspect="1"/>
                    </pic:cNvPicPr>
                  </pic:nvPicPr>
                  <pic:blipFill>
                    <a:blip r:embed="rId1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001"/>
        </w:numPr>
      </w:pPr>
      <w:r>
        <w:t xml:space="preserve">Update patch data from hydrodynamic time series (</w:t>
      </w:r>
      <w:r>
        <w:rPr>
          <w:rStyle w:val="VerbatimChar"/>
        </w:rPr>
        <w:t xml:space="preserve">update-patch-data</w:t>
      </w:r>
      <w:r>
        <w:t xml:space="preserve">)</w:t>
      </w:r>
    </w:p>
    <w:p>
      <w:pPr>
        <w:pStyle w:val="Compact"/>
        <w:numPr>
          <w:ilvl w:val="0"/>
          <w:numId w:val="1001"/>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001"/>
        </w:numPr>
      </w:pPr>
      <w:r>
        <w:t xml:space="preserve">Per-agent migration cue accumulation (</w:t>
      </w:r>
      <w:r>
        <w:rPr>
          <w:rStyle w:val="VerbatimChar"/>
        </w:rPr>
        <w:t xml:space="preserve">calc-migration-probability</w:t>
      </w:r>
      <w:r>
        <w:t xml:space="preserve">)</w:t>
      </w:r>
    </w:p>
    <w:p>
      <w:pPr>
        <w:pStyle w:val="Compact"/>
        <w:numPr>
          <w:ilvl w:val="0"/>
          <w:numId w:val="1001"/>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001"/>
        </w:numPr>
      </w:pPr>
      <w:r>
        <w:t xml:space="preserve">Residence phase and departure logic (wait-days counter)</w:t>
      </w:r>
    </w:p>
    <w:p>
      <w:pPr>
        <w:pStyle w:val="Compact"/>
        <w:numPr>
          <w:ilvl w:val="0"/>
          <w:numId w:val="1001"/>
        </w:numPr>
      </w:pPr>
      <w:r>
        <w:t xml:space="preserve">Dam crossing and estuary entry/exit counters (</w:t>
      </w:r>
      <w:r>
        <w:rPr>
          <w:rStyle w:val="VerbatimChar"/>
        </w:rPr>
        <w:t xml:space="preserve">count-alewives</w:t>
      </w:r>
      <w:r>
        <w:t xml:space="preserve">)</w:t>
      </w:r>
    </w:p>
    <w:p>
      <w:pPr>
        <w:pStyle w:val="Compact"/>
        <w:numPr>
          <w:ilvl w:val="0"/>
          <w:numId w:val="1001"/>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15"/>
    <w:bookmarkStart w:id="16" w:name="function-dependencies"/>
    <w:p>
      <w:pPr>
        <w:pStyle w:val="Heading2"/>
      </w:pP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16"/>
    <w:bookmarkStart w:id="25" w:name="implementation-in-netlogo"/>
    <w:p>
      <w:pPr>
        <w:pStyle w:val="Heading2"/>
      </w:pP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9">
        <w:r>
          <w:rPr>
            <w:rStyle w:val="Hyperlink"/>
          </w:rPr>
          <w:t xml:space="preserve">https://doi.org/10.5281/ZENODO.19483469</w:t>
        </w:r>
      </w:hyperlink>
      <w:r>
        <w:t xml:space="preserve"> </w:t>
      </w:r>
      <w:r>
        <w:t xml:space="preserve">and the repository is documented at</w:t>
      </w:r>
      <w:r>
        <w:t xml:space="preserve"> </w:t>
      </w:r>
      <w:hyperlink r:id="rId17">
        <w:r>
          <w:rPr>
            <w:rStyle w:val="Hyperlink"/>
          </w:rPr>
          <w:t xml:space="preserve">https://vmahan1998.github.io/GoFish/</w:t>
        </w:r>
      </w:hyperlink>
      <w:r>
        <w:t xml:space="preserve">. The code shown here is the operational model; all nls files are used verbatim from the GoFish library.</w:t>
      </w:r>
    </w:p>
    <w:bookmarkStart w:id="18" w:name="file-includes"/>
    <w:p>
      <w:pPr>
        <w:pStyle w:val="Heading3"/>
      </w:pP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18"/>
    <w:bookmarkStart w:id="19" w:name="setup"/>
    <w:p>
      <w:pPr>
        <w:pStyle w:val="Heading3"/>
      </w:pP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19"/>
    <w:bookmarkStart w:id="20" w:name="X456dae65383f55ea66b54b5503d4edaa731a315"/>
    <w:p>
      <w:pPr>
        <w:pStyle w:val="Heading3"/>
      </w:pP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20"/>
    <w:bookmarkStart w:id="21" w:name="the-go-procedure"/>
    <w:p>
      <w:pPr>
        <w:pStyle w:val="Heading3"/>
      </w:pP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21"/>
    <w:bookmarkStart w:id="22" w:name="X2d41ba1b3f62f338d39111f73901dc4fa0dc92d"/>
    <w:p>
      <w:pPr>
        <w:pStyle w:val="Heading3"/>
      </w:pP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22"/>
    <w:bookmarkStart w:id="23" w:name="what-to-observe"/>
    <w:p>
      <w:pPr>
        <w:pStyle w:val="Heading3"/>
      </w:pPr>
      <w:r>
        <w:t xml:space="preserve">What to observe</w:t>
      </w:r>
    </w:p>
    <w:p>
      <w:pPr>
        <w:pStyle w:val="FirstParagraph"/>
      </w:pPr>
      <w:r>
        <w:t xml:space="preserve">The P-MEM produces outputs across three categories:</w:t>
      </w:r>
    </w:p>
    <w:p>
      <w:pPr>
        <w:pStyle w:val="Compact"/>
        <w:numPr>
          <w:ilvl w:val="0"/>
          <w:numId w:val="1002"/>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002"/>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002"/>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002"/>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23"/>
    <w:bookmarkStart w:id="24" w:name="export-results-from-netlogo"/>
    <w:p>
      <w:pPr>
        <w:pStyle w:val="Heading3"/>
      </w:pP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24"/>
    <w:bookmarkEnd w:id="25"/>
    <w:bookmarkStart w:id="32" w:name="processing-in-r"/>
    <w:p>
      <w:pPr>
        <w:pStyle w:val="Heading2"/>
      </w:pP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17">
        <w:r>
          <w:rPr>
            <w:rStyle w:val="Hyperlink"/>
          </w:rPr>
          <w:t xml:space="preserve">https://vmahan1998.github.io/GoFish/</w:t>
        </w:r>
      </w:hyperlink>
      <w:r>
        <w:t xml:space="preserve"> </w:t>
      </w:r>
      <w:r>
        <w:t xml:space="preserve">and archived with the model at</w:t>
      </w:r>
      <w:r>
        <w:t xml:space="preserve"> </w:t>
      </w:r>
      <w:hyperlink r:id="rId9">
        <w:r>
          <w:rPr>
            <w:rStyle w:val="Hyperlink"/>
          </w:rPr>
          <w:t xml:space="preserve">https://doi.org/10.5281/ZENODO.19483469</w:t>
        </w:r>
      </w:hyperlink>
      <w:r>
        <w:t xml:space="preserve">.</w:t>
      </w:r>
    </w:p>
    <w:bookmarkStart w:id="26" w:name="output-file-types"/>
    <w:p>
      <w:pPr>
        <w:pStyle w:val="Heading3"/>
      </w:pP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26"/>
    <w:bookmarkStart w:id="27" w:name="loading-output-files"/>
    <w:p>
      <w:pPr>
        <w:pStyle w:val="Heading3"/>
      </w:pP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27"/>
    <w:bookmarkStart w:id="28" w:name="datetime-conversion"/>
    <w:p>
      <w:pPr>
        <w:pStyle w:val="Heading3"/>
      </w:pP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28"/>
    <w:bookmarkStart w:id="29" w:name="X703f9274e97edea9dc462d12a07a06148770c36"/>
    <w:p>
      <w:pPr>
        <w:pStyle w:val="Heading3"/>
      </w:pP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29"/>
    <w:bookmarkStart w:id="30" w:name="X9974631044e992c4ab626434e596ab2722da312"/>
    <w:p>
      <w:pPr>
        <w:pStyle w:val="Heading3"/>
      </w:pP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0"/>
    <w:bookmarkStart w:id="31" w:name="X1f4cf9c652d7cdd3d8ea2e81009b1939108057a"/>
    <w:p>
      <w:pPr>
        <w:pStyle w:val="Heading3"/>
      </w:pP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1"/>
    <w:bookmarkEnd w:id="32"/>
    <w:bookmarkStart w:id="36" w:name="applied-potential-for-decision-making"/>
    <w:p>
      <w:pPr>
        <w:pStyle w:val="Heading2"/>
      </w:pP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11">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3" w:name="X3e7c535b854bc6ef66dd7bd5046a8b14c94dcd6"/>
    <w:p>
      <w:pPr>
        <w:pStyle w:val="Heading3"/>
      </w:pP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003"/>
        </w:numPr>
      </w:pPr>
      <w:r>
        <w:t xml:space="preserve">Open</w:t>
      </w:r>
      <w:r>
        <w:t xml:space="preserve"> </w:t>
      </w:r>
      <w:hyperlink r:id="rId11">
        <w:r>
          <w:rPr>
            <w:rStyle w:val="Hyperlink"/>
          </w:rPr>
          <w:t xml:space="preserve">Mercury Risk Explorer</w:t>
        </w:r>
      </w:hyperlink>
    </w:p>
    <w:p>
      <w:pPr>
        <w:pStyle w:val="Compact"/>
        <w:numPr>
          <w:ilvl w:val="0"/>
          <w:numId w:val="1003"/>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003"/>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003"/>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003"/>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3"/>
    <w:bookmarkStart w:id="34" w:name="what-the-outputs-show"/>
    <w:p>
      <w:pPr>
        <w:pStyle w:val="Heading3"/>
      </w:pP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4"/>
    <w:bookmarkStart w:id="35" w:name="decision-relevant-outputs"/>
    <w:p>
      <w:pPr>
        <w:pStyle w:val="Heading3"/>
      </w:pP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004"/>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004"/>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004"/>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5"/>
    <w:bookmarkEnd w:id="36"/>
    <w:bookmarkEnd w:id="3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2026-07-05T19:45:38Z</dcterms:created>
  <dcterms:modified xsi:type="dcterms:W3CDTF">2026-07-05T19:45:38Z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