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alinity-exposure"/>
    <w:p>
      <w:pPr>
        <w:pStyle w:val="Heading1"/>
      </w:pPr>
      <w:r>
        <w:t xml:space="preserve">Salinity Exposure</w:t>
      </w:r>
    </w:p>
    <w:bookmarkStart w:id="9" w:name="overview"/>
    <w:p>
      <w:pPr>
        <w:pStyle w:val="Heading2"/>
      </w:pP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(Evans and Claiborne 2008)</w:t>
      </w:r>
      <w:r>
        <w:t xml:space="preserve">.</w:t>
      </w:r>
    </w:p>
    <w:bookmarkEnd w:id="9"/>
    <w:bookmarkStart w:id="10" w:name="purpose"/>
    <w:p>
      <w:pPr>
        <w:pStyle w:val="Heading2"/>
      </w:pP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1"/>
        </w:numPr>
      </w:pPr>
      <w:r>
        <w:rPr>
          <w:b/>
          <w:bCs/>
        </w:rPr>
        <w:t xml:space="preserve">Spatial Unit</w:t>
      </w:r>
      <w:r>
        <w:t xml:space="preserve">: Patch (3 m x 3 m resolution)</w:t>
      </w:r>
    </w:p>
    <w:p>
      <w:pPr>
        <w:pStyle w:val="Compact"/>
        <w:numPr>
          <w:ilvl w:val="0"/>
          <w:numId w:val="1001"/>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14"/>
    <w:bookmarkEnd w:id="15"/>
    <w:bookmarkStart w:id="16" w:name="process-overview-and-scheduling"/>
    <w:p>
      <w:pPr>
        <w:pStyle w:val="Heading2"/>
      </w:pPr>
      <w:r>
        <w:t xml:space="preserve">Process Overview and Scheduling</w:t>
      </w:r>
    </w:p>
    <w:p>
      <w:pPr>
        <w:numPr>
          <w:ilvl w:val="0"/>
          <w:numId w:val="1002"/>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02"/>
        </w:numPr>
      </w:pPr>
      <w:r>
        <w:t xml:space="preserve">Adjust chloride cell density depending on time since last</w:t>
      </w:r>
      <w:r>
        <w:t xml:space="preserve"> </w:t>
      </w:r>
      <w:r>
        <w:t xml:space="preserve">osmoregulation (%).</w:t>
      </w:r>
    </w:p>
    <w:p>
      <w:pPr>
        <w:numPr>
          <w:ilvl w:val="0"/>
          <w:numId w:val="1002"/>
        </w:numPr>
      </w:pPr>
      <w:r>
        <w:t xml:space="preserve">Compute energy cost of osmoregulation (energy units).</w:t>
      </w:r>
    </w:p>
    <w:p>
      <w:pPr>
        <w:numPr>
          <w:ilvl w:val="0"/>
          <w:numId w:val="1002"/>
        </w:numPr>
      </w:pPr>
      <w:r>
        <w:t xml:space="preserve">Deduct energy expenditure from agent’s energy pool (energy units).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(Evans and Claiborne 2008)</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 et al. (2009)</w:t>
      </w:r>
      <w:r>
        <w:t xml:space="preserve">;</w:t>
      </w:r>
      <w:r>
        <w:t xml:space="preserve"> </w:t>
      </w:r>
      <w:r>
        <w:t xml:space="preserve">Little et al. (2023)</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17"/>
    <w:bookmarkStart w:id="18" w:name="initialization"/>
    <w:p>
      <w:pPr>
        <w:pStyle w:val="Heading2"/>
      </w:pP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18"/>
    <w:bookmarkStart w:id="23" w:name="submodels"/>
    <w:p>
      <w:pPr>
        <w:pStyle w:val="Heading2"/>
      </w:pPr>
      <w:r>
        <w:t xml:space="preserve">Submodels</w:t>
      </w:r>
    </w:p>
    <w:bookmarkStart w:id="19" w:name="salinity-stress"/>
    <w:p>
      <w:pPr>
        <w:pStyle w:val="Heading3"/>
      </w:pP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(6.1)</m:t>
          </m:r>
        </m:oMath>
      </m:oMathPara>
    </w:p>
    <w:p>
      <w:pPr>
        <w:pStyle w:val="FirstParagraph"/>
      </w:pPr>
      <w:r>
        <w:t xml:space="preserve">Where:</w:t>
      </w:r>
    </w:p>
    <w:p>
      <w:pPr>
        <w:numPr>
          <w:ilvl w:val="0"/>
          <w:numId w:val="100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03"/>
        </w:numPr>
      </w:pPr>
      <m:oMath>
        <m:sSub>
          <m:e>
            <m:r>
              <m:t>S</m:t>
            </m:r>
          </m:e>
          <m:sub>
            <m:r>
              <m:t>a</m:t>
            </m:r>
            <m:r>
              <m:t>g</m:t>
            </m:r>
            <m:r>
              <m:t>e</m:t>
            </m:r>
            <m:r>
              <m:t>n</m:t>
            </m:r>
            <m:r>
              <m:t>t</m:t>
            </m:r>
          </m:sub>
        </m:sSub>
      </m:oMath>
      <w:r>
        <w:t xml:space="preserve"> </w:t>
      </w:r>
      <w:r>
        <w:t xml:space="preserve">is an agent’s acclimated salinity (psu).</w:t>
      </w:r>
    </w:p>
    <w:p>
      <w:pPr>
        <w:numPr>
          <w:ilvl w:val="0"/>
          <w:numId w:val="1003"/>
        </w:numPr>
      </w:pPr>
      <m:oMath>
        <m:sSub>
          <m:e>
            <m:r>
              <m:t>S</m:t>
            </m:r>
          </m:e>
          <m:sub>
            <m:r>
              <m:t>p</m:t>
            </m:r>
            <m:r>
              <m:t>a</m:t>
            </m:r>
            <m:r>
              <m:t>t</m:t>
            </m:r>
            <m:r>
              <m:t>c</m:t>
            </m:r>
            <m:r>
              <m:t>h</m:t>
            </m:r>
          </m:sub>
        </m:sSub>
      </m:oMath>
      <w:r>
        <w:t xml:space="preserve"> </w:t>
      </w:r>
      <w:r>
        <w:t xml:space="preserve">is the environmental salinity at patch (psu).</w:t>
      </w:r>
    </w:p>
    <w:p>
      <w:pPr>
        <w:numPr>
          <w:ilvl w:val="0"/>
          <w:numId w:val="1003"/>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03"/>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(6.2)</m:t>
          </m:r>
        </m:oMath>
      </m:oMathPara>
    </w:p>
    <w:p>
      <w:pPr>
        <w:pStyle w:val="FirstParagraph"/>
      </w:pPr>
      <w:r>
        <w:t xml:space="preserve">Where:</w:t>
      </w:r>
    </w:p>
    <w:p>
      <w:pPr>
        <w:pStyle w:val="Compact"/>
        <w:numPr>
          <w:ilvl w:val="0"/>
          <w:numId w:val="1004"/>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(Evans and Claiborne 2008)</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(6.3)</m:t>
          </m:r>
        </m:oMath>
      </m:oMathPara>
    </w:p>
    <w:p>
      <w:pPr>
        <w:pStyle w:val="FirstParagraph"/>
      </w:pPr>
      <w:r>
        <w:t xml:space="preserve">Where:</w:t>
      </w:r>
    </w:p>
    <w:p>
      <w:pPr>
        <w:pStyle w:val="Compact"/>
        <w:numPr>
          <w:ilvl w:val="0"/>
          <w:numId w:val="1005"/>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05"/>
        </w:numPr>
      </w:pPr>
      <m:oMath>
        <m:sSub>
          <m:e>
            <m:r>
              <m:t>S</m:t>
            </m:r>
          </m:e>
          <m:sub>
            <m:r>
              <m:t>p</m:t>
            </m:r>
            <m:r>
              <m:t>a</m:t>
            </m:r>
            <m:r>
              <m:t>t</m:t>
            </m:r>
            <m:r>
              <m:t>c</m:t>
            </m:r>
            <m:r>
              <m:t>h</m:t>
            </m:r>
          </m:sub>
        </m:sSub>
      </m:oMath>
      <w:r>
        <w:t xml:space="preserve"> </w:t>
      </w:r>
      <w:r>
        <w:t xml:space="preserve">is the environmental salinity at patch (psu).</w:t>
      </w:r>
    </w:p>
    <w:bookmarkEnd w:id="19"/>
    <w:bookmarkStart w:id="20" w:name="chloride-cell-density"/>
    <w:p>
      <w:pPr>
        <w:pStyle w:val="Heading3"/>
      </w:pP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(Evans and Claiborne 2008)</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(6.4)</m:t>
          </m:r>
        </m:oMath>
      </m:oMathPara>
    </w:p>
    <w:p>
      <w:pPr>
        <w:pStyle w:val="FirstParagraph"/>
      </w:pPr>
      <w:r>
        <w:t xml:space="preserve">Where:</w:t>
      </w:r>
    </w:p>
    <w:p>
      <w:pPr>
        <w:pStyle w:val="Compact"/>
        <w:numPr>
          <w:ilvl w:val="0"/>
          <w:numId w:val="100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6"/>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06"/>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06"/>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(6.5)</m:t>
          </m:r>
        </m:oMath>
      </m:oMathPara>
    </w:p>
    <w:p>
      <w:pPr>
        <w:pStyle w:val="FirstParagraph"/>
      </w:pPr>
      <w:r>
        <w:t xml:space="preserve">Where:</w:t>
      </w:r>
    </w:p>
    <w:p>
      <w:pPr>
        <w:pStyle w:val="Compact"/>
        <w:numPr>
          <w:ilvl w:val="0"/>
          <w:numId w:val="100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(6.6)</m:t>
          </m:r>
        </m:oMath>
      </m:oMathPara>
    </w:p>
    <w:p>
      <w:pPr>
        <w:pStyle w:val="FirstParagraph"/>
      </w:pPr>
      <w:r>
        <w:t xml:space="preserve">Where:</w:t>
      </w:r>
    </w:p>
    <w:p>
      <w:pPr>
        <w:pStyle w:val="Compact"/>
        <w:numPr>
          <w:ilvl w:val="0"/>
          <w:numId w:val="100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8"/>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8"/>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08"/>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(6.7)</m:t>
          </m:r>
        </m:oMath>
      </m:oMathPara>
    </w:p>
    <w:p>
      <w:pPr>
        <w:pStyle w:val="FirstParagraph"/>
      </w:pPr>
      <w:r>
        <w:t xml:space="preserve">Where:</w:t>
      </w:r>
    </w:p>
    <w:p>
      <w:pPr>
        <w:pStyle w:val="Compact"/>
        <w:numPr>
          <w:ilvl w:val="0"/>
          <w:numId w:val="1009"/>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9"/>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(6.8)</m:t>
          </m:r>
        </m:oMath>
      </m:oMathPara>
    </w:p>
    <w:p>
      <w:pPr>
        <w:pStyle w:val="FirstParagraph"/>
      </w:pPr>
      <w:r>
        <w:t xml:space="preserve">Where:</w:t>
      </w:r>
    </w:p>
    <w:p>
      <w:pPr>
        <w:pStyle w:val="Compact"/>
        <w:numPr>
          <w:ilvl w:val="0"/>
          <w:numId w:val="101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(6.9)</m:t>
          </m:r>
        </m:oMath>
      </m:oMathPara>
    </w:p>
    <w:p>
      <w:pPr>
        <w:pStyle w:val="FirstParagraph"/>
      </w:pPr>
      <w:r>
        <w:t xml:space="preserve">Where:</w:t>
      </w:r>
    </w:p>
    <w:p>
      <w:pPr>
        <w:pStyle w:val="Compact"/>
        <w:numPr>
          <w:ilvl w:val="0"/>
          <w:numId w:val="1011"/>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11"/>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11"/>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11"/>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11"/>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(6.10)</m:t>
          </m:r>
        </m:oMath>
      </m:oMathPara>
    </w:p>
    <w:p>
      <w:pPr>
        <w:pStyle w:val="FirstParagraph"/>
      </w:pPr>
      <w:r>
        <w:t xml:space="preserve">Where:</w:t>
      </w:r>
    </w:p>
    <w:p>
      <w:pPr>
        <w:pStyle w:val="Compact"/>
        <w:numPr>
          <w:ilvl w:val="0"/>
          <w:numId w:val="1012"/>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12"/>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(6.11)</m:t>
          </m:r>
        </m:oMath>
      </m:oMathPara>
    </w:p>
    <w:p>
      <w:pPr>
        <w:pStyle w:val="FirstParagraph"/>
      </w:pPr>
      <w:r>
        <w:t xml:space="preserve">Where:</w:t>
      </w:r>
    </w:p>
    <w:p>
      <w:pPr>
        <w:pStyle w:val="Compact"/>
        <w:numPr>
          <w:ilvl w:val="0"/>
          <w:numId w:val="1013"/>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20"/>
    <w:bookmarkStart w:id="21"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 (1932)</w:t>
      </w:r>
      <w:r>
        <w:t xml:space="preserve">;</w:t>
      </w:r>
      <w:r>
        <w:t xml:space="preserve"> </w:t>
      </w:r>
      <w:r>
        <w:t xml:space="preserve">West et al. (1997)</w:t>
      </w:r>
      <w:r>
        <w:t xml:space="preserve">;</w:t>
      </w:r>
      <w:r>
        <w:t xml:space="preserve"> </w:t>
      </w:r>
      <w:r>
        <w:t xml:space="preserve">Brown et al. (2004)</w:t>
      </w:r>
      <w:r>
        <w:t xml:space="preserve">;</w:t>
      </w:r>
      <w:r>
        <w:t xml:space="preserve"> </w:t>
      </w:r>
      <w:r>
        <w:t xml:space="preserve">Schmidt-Nielsen (1997)</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(6.12)</m:t>
          </m:r>
        </m:oMath>
      </m:oMathPara>
    </w:p>
    <w:p>
      <w:pPr>
        <w:pStyle w:val="FirstParagraph"/>
      </w:pPr>
      <w:r>
        <w:t xml:space="preserve">Where:</w:t>
      </w:r>
    </w:p>
    <w:p>
      <w:pPr>
        <w:numPr>
          <w:ilvl w:val="0"/>
          <w:numId w:val="101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4"/>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14"/>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14"/>
        </w:numPr>
      </w:pPr>
      <m:oMath>
        <m:sSub>
          <m:e>
            <m:r>
              <m:t>M</m:t>
            </m:r>
          </m:e>
          <m:sub>
            <m:r>
              <m:t>m</m:t>
            </m:r>
            <m:r>
              <m:t>a</m:t>
            </m:r>
            <m:r>
              <m:t>x</m:t>
            </m:r>
          </m:sub>
        </m:sSub>
      </m:oMath>
      <w:r>
        <w:t xml:space="preserve"> </w:t>
      </w:r>
      <w:r>
        <w:t xml:space="preserve">is the maximum body mass across the population (g).</w:t>
      </w:r>
    </w:p>
    <w:p>
      <w:pPr>
        <w:numPr>
          <w:ilvl w:val="0"/>
          <w:numId w:val="1014"/>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(6.13)</m:t>
          </m:r>
        </m:oMath>
      </m:oMathPara>
    </w:p>
    <w:p>
      <w:pPr>
        <w:pStyle w:val="FirstParagraph"/>
      </w:pPr>
      <w:r>
        <w:t xml:space="preserve">Where:</w:t>
      </w:r>
    </w:p>
    <w:p>
      <w:pPr>
        <w:numPr>
          <w:ilvl w:val="0"/>
          <w:numId w:val="1015"/>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15"/>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15"/>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5"/>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21"/>
    <w:bookmarkStart w:id="22" w:name="energy-balance"/>
    <w:p>
      <w:pPr>
        <w:pStyle w:val="Heading3"/>
      </w:pP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(6.14)</m:t>
          </m:r>
        </m:oMath>
      </m:oMathPara>
    </w:p>
    <w:p>
      <w:pPr>
        <w:pStyle w:val="FirstParagraph"/>
      </w:pPr>
      <w:r>
        <w:t xml:space="preserve">Where:</w:t>
      </w:r>
    </w:p>
    <w:p>
      <w:pPr>
        <w:numPr>
          <w:ilvl w:val="0"/>
          <w:numId w:val="101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16"/>
        </w:numPr>
      </w:pPr>
      <m:oMath>
        <m:sSub>
          <m:e>
            <m:r>
              <m:t>E</m:t>
            </m:r>
          </m:e>
          <m:sub>
            <m:r>
              <m:t>o</m:t>
            </m:r>
            <m:r>
              <m:t>s</m:t>
            </m:r>
            <m:r>
              <m:t>m</m:t>
            </m:r>
            <m:r>
              <m:t>o</m:t>
            </m:r>
          </m:sub>
        </m:sSub>
      </m:oMath>
      <w:r>
        <w:t xml:space="preserve"> </w:t>
      </w:r>
      <w:r>
        <w:t xml:space="preserve">is the energy cost of osmoregulation (energy units).</w:t>
      </w:r>
    </w:p>
    <w:bookmarkEnd w:id="22"/>
    <w:bookmarkEnd w:id="23"/>
    <w:bookmarkStart w:id="37"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Start w:id="36" w:name="refs"/>
    <w:bookmarkStart w:id="25"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24">
        <w:r>
          <w:rPr>
            <w:rStyle w:val="Hyperlink"/>
          </w:rPr>
          <w:t xml:space="preserve">https://doi.org/10.1007/s00360-009-0372-2</w:t>
        </w:r>
      </w:hyperlink>
      <w:r>
        <w:t xml:space="preserve">.</w:t>
      </w:r>
    </w:p>
    <w:bookmarkEnd w:id="25"/>
    <w:bookmarkStart w:id="27"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6">
        <w:r>
          <w:rPr>
            <w:rStyle w:val="Hyperlink"/>
          </w:rPr>
          <w:t xml:space="preserve">https://doi.org/10.1890/03-9000</w:t>
        </w:r>
      </w:hyperlink>
      <w:r>
        <w:t xml:space="preserve">.</w:t>
      </w:r>
    </w:p>
    <w:bookmarkEnd w:id="27"/>
    <w:bookmarkStart w:id="29"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28">
        <w:r>
          <w:rPr>
            <w:rStyle w:val="Hyperlink"/>
          </w:rPr>
          <w:t xml:space="preserve">https://doi.org/10.1201/9780849380525-8</w:t>
        </w:r>
      </w:hyperlink>
      <w:r>
        <w:t xml:space="preserve">.</w:t>
      </w:r>
    </w:p>
    <w:bookmarkEnd w:id="29"/>
    <w:bookmarkStart w:id="30"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30"/>
    <w:bookmarkStart w:id="32"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31">
        <w:r>
          <w:rPr>
            <w:rStyle w:val="Hyperlink"/>
          </w:rPr>
          <w:t xml:space="preserve">https://doi.org/10.3389/fphys.2023.1163153</w:t>
        </w:r>
      </w:hyperlink>
      <w:r>
        <w:t xml:space="preserve">.</w:t>
      </w:r>
    </w:p>
    <w:bookmarkEnd w:id="32"/>
    <w:bookmarkStart w:id="33"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33"/>
    <w:bookmarkStart w:id="35"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34">
        <w:r>
          <w:rPr>
            <w:rStyle w:val="Hyperlink"/>
          </w:rPr>
          <w:t xml:space="preserve">https://doi.org/10.1126/science.276.5309.122</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07/s00360-009-0372-2" TargetMode="External" /><Relationship Type="http://schemas.openxmlformats.org/officeDocument/2006/relationships/hyperlink" Id="rId34" Target="https://doi.org/10.1126/science.276.5309.122" TargetMode="External" /><Relationship Type="http://schemas.openxmlformats.org/officeDocument/2006/relationships/hyperlink" Id="rId28" Target="https://doi.org/10.1201/9780849380525-8" TargetMode="External" /><Relationship Type="http://schemas.openxmlformats.org/officeDocument/2006/relationships/hyperlink" Id="rId26" Target="https://doi.org/10.1890/03-9000" TargetMode="External" /><Relationship Type="http://schemas.openxmlformats.org/officeDocument/2006/relationships/hyperlink" Id="rId31" Target="https://doi.org/10.3389/fphys.2023.1163153"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07/s00360-009-0372-2" TargetMode="External" /><Relationship Type="http://schemas.openxmlformats.org/officeDocument/2006/relationships/hyperlink" Id="rId34" Target="https://doi.org/10.1126/science.276.5309.122" TargetMode="External" /><Relationship Type="http://schemas.openxmlformats.org/officeDocument/2006/relationships/hyperlink" Id="rId28" Target="https://doi.org/10.1201/9780849380525-8" TargetMode="External" /><Relationship Type="http://schemas.openxmlformats.org/officeDocument/2006/relationships/hyperlink" Id="rId26" Target="https://doi.org/10.1890/03-9000" TargetMode="External" /><Relationship Type="http://schemas.openxmlformats.org/officeDocument/2006/relationships/hyperlink" Id="rId31" Target="https://doi.org/10.3389/fphys.2023.11631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2026-07-05T19:45:23Z</dcterms:created>
  <dcterms:modified xsi:type="dcterms:W3CDTF">2026-07-05T19:45:23Z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