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[@dobon_netlogo_2018]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[@northfield_spatial_2017]</w:t>
      </w:r>
      <w:r>
        <w:t xml:space="preserve">. These interactions follow established predator–prey theory in which consumption arises from encounter processes and functional responses linking prey availability to predator intake</w:t>
      </w:r>
      <w:r>
        <w:t xml:space="preserve"> </w:t>
      </w:r>
      <w:r>
        <w:t xml:space="preserve">[@diz-pita_predatorprey_2021]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[@dobon_netlogo_2018]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@dobon_netlogo_2018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2026-05-22T14:29:30Z</dcterms:created>
  <dcterms:modified xsi:type="dcterms:W3CDTF">2026-05-22T14:29:30Z</dcterms:modified>
</cp:coreProperties>
</file>

<file path=docProps/custom.xml><?xml version="1.0" encoding="utf-8"?>
<Properties xmlns="http://schemas.openxmlformats.org/officeDocument/2006/custom-properties" xmlns:vt="http://schemas.openxmlformats.org/officeDocument/2006/docPropsVTypes"/>
</file>