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Alewife</w:t>
      </w:r>
      <w:r>
        <w:t xml:space="preserve"> </w:t>
      </w:r>
      <w:r>
        <w:t xml:space="preserve">Habitat</w:t>
      </w:r>
      <w:r>
        <w:t xml:space="preserve"> </w:t>
      </w:r>
      <w:r>
        <w:t xml:space="preserve">Suitability</w:t>
      </w:r>
      <w:r>
        <w:t xml:space="preserve"> </w:t>
      </w:r>
      <w:r>
        <w:t xml:space="preserve">Models</w:t>
      </w:r>
    </w:p>
    <w:p>
      <w:pPr>
        <w:pStyle w:val="Author"/>
      </w:pPr>
      <w:r>
        <w:t xml:space="preserve">Vanessa</w:t>
      </w:r>
      <w:r>
        <w:t xml:space="preserve"> </w:t>
      </w:r>
      <w:r>
        <w:t xml:space="preserve">Mahan,</w:t>
      </w:r>
      <w:r>
        <w:t xml:space="preserve"> </w:t>
      </w:r>
      <w:r>
        <w:t xml:space="preserve">Justin</w:t>
      </w:r>
      <w:r>
        <w:t xml:space="preserve"> </w:t>
      </w:r>
      <w:r>
        <w:t xml:space="preserve">Stevens</w:t>
      </w:r>
    </w:p>
    <w:p>
      <w:pPr>
        <w:pStyle w:val="Date"/>
      </w:pPr>
      <w:r>
        <w:t xml:space="preserve">2023-04-19</w:t>
      </w:r>
    </w:p>
    <w:bookmarkStart w:id="117" w:name="alewives"/>
    <w:p>
      <w:pPr>
        <w:pStyle w:val="Heading1"/>
      </w:pPr>
      <w:r>
        <w:t xml:space="preserve">Alewives</w:t>
      </w:r>
    </w:p>
    <w:p>
      <w:pPr>
        <w:pStyle w:val="FirstParagraph"/>
      </w:pPr>
      <w:r>
        <w:t xml:space="preserve">This chapter aims to explore the habitat preferences and life cycle of alewives (Alosa pseudoharengus) in the northeastern United States. Alewives have faced significant declines, leading to their classification as a</w:t>
      </w:r>
      <w:r>
        <w:t xml:space="preserve"> </w:t>
      </w:r>
      <w:r>
        <w:t xml:space="preserve">“</w:t>
      </w:r>
      <w:r>
        <w:t xml:space="preserve">species of concern</w:t>
      </w:r>
      <w:r>
        <w:t xml:space="preserve">”</w:t>
      </w:r>
      <w:r>
        <w:t xml:space="preserve"> </w:t>
      </w:r>
      <w:r>
        <w:t xml:space="preserve">by the U.S. National Marine Fisheries Service</w:t>
      </w:r>
      <w:r>
        <w:t xml:space="preserve"> </w:t>
      </w:r>
      <w:r>
        <w:t xml:space="preserve">(National Marine Fisheries Service 2009)</w:t>
      </w:r>
      <w:r>
        <w:t xml:space="preserve">. A combination of factors that have contributed to this decline, including deteriorating water quality, habitat loss, offshore bycatch/overfishing, increased predation, and dam construction</w:t>
      </w:r>
      <w:r>
        <w:t xml:space="preserve"> </w:t>
      </w:r>
      <w:r>
        <w:t xml:space="preserve">(Kocovsky et al. 2008; National Marine Fisheries Service 2009; Bethoney, Stokesbury, and Cadrin 2014;</w:t>
      </w:r>
      <w:r>
        <w:t xml:space="preserve"> </w:t>
      </w:r>
      <w:r>
        <w:rPr>
          <w:bCs/>
          <w:b/>
        </w:rPr>
        <w:t xml:space="preserve">waldman_north_2022?</w:t>
      </w:r>
      <w:r>
        <w:t xml:space="preserve">)</w:t>
      </w:r>
      <w:r>
        <w:t xml:space="preserve">. They have also been considered for inclusion in the U.S. Endangered Species List, as indicated in reports by the National Marine Fisheries Service in 2013</w:t>
      </w:r>
      <w:r>
        <w:t xml:space="preserve"> </w:t>
      </w:r>
      <w:r>
        <w:t xml:space="preserve">(National Marine Fisheries Service 2013)</w:t>
      </w:r>
      <w:r>
        <w:t xml:space="preserve">.</w:t>
      </w:r>
    </w:p>
    <w:p>
      <w:pPr>
        <w:pStyle w:val="BodyText"/>
      </w:pPr>
      <w:r>
        <w:t xml:space="preserve">Recent stock assessment reports reveal diverse trends in documented alewife runs over the last ten years, with some populations showing signs of stabilization or even growth</w:t>
      </w:r>
      <w:r>
        <w:t xml:space="preserve"> </w:t>
      </w:r>
      <w:r>
        <w:t xml:space="preserve">(ASMFC 2017)</w:t>
      </w:r>
      <w:r>
        <w:t xml:space="preserve">. Additionally, in 2019, the National Marine Fisheries Service concluded that listing the alewife as threatened or endangered under the Endangered Species Act (ESA) was not warranted</w:t>
      </w:r>
      <w:r>
        <w:t xml:space="preserve"> </w:t>
      </w:r>
      <w:r>
        <w:t xml:space="preserve">(National Marine Fisheries Service 2019)</w:t>
      </w:r>
      <w:r>
        <w:t xml:space="preserve">.</w:t>
      </w:r>
    </w:p>
    <w:p>
      <w:pPr>
        <w:pStyle w:val="BodyText"/>
      </w:pPr>
      <w:r>
        <w:t xml:space="preserve">Alewives are widely distributed throughout the northeastern United States, thriving in freshwater rivers and estuaries along the Atlantic coast</w:t>
      </w:r>
      <w:r>
        <w:t xml:space="preserve"> </w:t>
      </w:r>
      <w:r>
        <w:t xml:space="preserve">(ASMFC 1985)</w:t>
      </w:r>
      <w:r>
        <w:t xml:space="preserve">. Historically, alewives have undertaken extensive migrations to spawn in freshwater tidal systems, but limited information is available about estuary and marine movements during the juvenile and adult phases for alewives</w:t>
      </w:r>
      <w:r>
        <w:t xml:space="preserve"> </w:t>
      </w:r>
      <w:r>
        <w:t xml:space="preserve">(McCartin et al. 2019)</w:t>
      </w:r>
      <w:r>
        <w:t xml:space="preserve">.</w:t>
      </w:r>
    </w:p>
    <w:p>
      <w:pPr>
        <w:pStyle w:val="BodyText"/>
      </w:pPr>
      <w:r>
        <w:t xml:space="preserve">This chapter explores the favorable habitat conditions for spawning alewife adults, non-migratory juveniles, and larvae, which are influenced by factors such as suitable spawning habitats, water quality conditions, and availability of appropriate food resources</w:t>
      </w:r>
      <w:r>
        <w:t xml:space="preserve"> </w:t>
      </w:r>
      <w:r>
        <w:t xml:space="preserve">(Lynch et al. 2015)</w:t>
      </w:r>
      <w:r>
        <w:t xml:space="preserve">.</w:t>
      </w:r>
    </w:p>
    <w:bookmarkStart w:id="20" w:name="life-cycle-overview"/>
    <w:p>
      <w:pPr>
        <w:pStyle w:val="Heading2"/>
      </w:pPr>
      <w:r>
        <w:t xml:space="preserve">Life cycle overview</w:t>
      </w:r>
    </w:p>
    <w:p>
      <w:pPr>
        <w:pStyle w:val="FirstParagraph"/>
      </w:pPr>
      <w:r>
        <w:t xml:space="preserve">Alewives exhibit a complex life cycle characterized by distinct stages and behaviors. Spawning typically occurs in waves during the spring season, triggered by rising water temperatures and increasing day length</w:t>
      </w:r>
      <w:r>
        <w:t xml:space="preserve"> </w:t>
      </w:r>
      <w:r>
        <w:t xml:space="preserve">(ASMFC 2009; McCartin et al. 2019; Able et al. 2020)</w:t>
      </w:r>
      <w:r>
        <w:t xml:space="preserve">. Adult alewives migrate upstream from marine environments to reach suitable brackish or freshwater spawning habitats</w:t>
      </w:r>
      <w:r>
        <w:t xml:space="preserve"> </w:t>
      </w:r>
      <w:r>
        <w:t xml:space="preserve">(H. B. Bigelow and Schroeder 1953; A. F. Bigelow et al. 2002)</w:t>
      </w:r>
      <w:r>
        <w:t xml:space="preserve">. Recent observations show that alewife migration can also be correlated with the lunar phase</w:t>
      </w:r>
      <w:r>
        <w:t xml:space="preserve"> </w:t>
      </w:r>
      <w:r>
        <w:t xml:space="preserve">(Legett et al. 2021)</w:t>
      </w:r>
      <w:r>
        <w:t xml:space="preserve">.</w:t>
      </w:r>
    </w:p>
    <w:p>
      <w:pPr>
        <w:pStyle w:val="BodyText"/>
      </w:pPr>
      <w:r>
        <w:t xml:space="preserve">Upon arrival at the spawning grounds, adult alewives engage in immense spawning runs, where large aggregations gather to deposit their adhesive eggs over a variety of substrates</w:t>
      </w:r>
      <w:r>
        <w:t xml:space="preserve"> </w:t>
      </w:r>
      <w:r>
        <w:t xml:space="preserve">(O’Connell and Angermeier 1997; Able et al. 2020)</w:t>
      </w:r>
      <w:r>
        <w:t xml:space="preserve">. After spawning, both males and females return to the marine environment</w:t>
      </w:r>
      <w:r>
        <w:t xml:space="preserve">(H. B. Bigelow and Schroeder 1953; A. F. Bigelow et al. 2002)</w:t>
      </w:r>
      <w:r>
        <w:t xml:space="preserve">.</w:t>
      </w:r>
    </w:p>
    <w:p>
      <w:pPr>
        <w:pStyle w:val="BodyText"/>
      </w:pPr>
      <w:r>
        <w:t xml:space="preserve">In the spawning habitat, the incubation period for eggs typically lasts for 3-6 days</w:t>
      </w:r>
      <w:r>
        <w:t xml:space="preserve"> </w:t>
      </w:r>
      <w:r>
        <w:t xml:space="preserve">(H. B. Bigelow and Schroeder 1953;</w:t>
      </w:r>
      <w:r>
        <w:t xml:space="preserve"> </w:t>
      </w:r>
      <w:r>
        <w:rPr>
          <w:bCs/>
          <w:b/>
        </w:rPr>
        <w:t xml:space="preserve">munroe_overview_2000?</w:t>
      </w:r>
      <w:r>
        <w:t xml:space="preserve">; A. F. Bigelow et al. 2002)</w:t>
      </w:r>
      <w:r>
        <w:t xml:space="preserve">. Once hatched, the larvae begin their rapid migration downstream, eventually making their way towards estuary habitats where they will reside as they grow</w:t>
      </w:r>
      <w:r>
        <w:t xml:space="preserve"> </w:t>
      </w:r>
      <w:r>
        <w:t xml:space="preserve">(Pardue 1983)</w:t>
      </w:r>
      <w:r>
        <w:t xml:space="preserve">. This estuary environment serves as a nursery for juvenile alewives until they eventually migrate to the sea</w:t>
      </w:r>
      <w:r>
        <w:t xml:space="preserve"> </w:t>
      </w:r>
      <w:r>
        <w:t xml:space="preserve">(Laney 1997; Kosa and Mather 2001)</w:t>
      </w:r>
      <w:r>
        <w:t xml:space="preserve">. It is noteworthy that the survival rate for larvae is relatively low, with only a small percentage successfully reaching the sea for each female alewife that entered the spawning grounds. This percentage can be as low as 1% or even less, depending on the specific conditions of the ecosystem</w:t>
      </w:r>
      <w:r>
        <w:t xml:space="preserve"> </w:t>
      </w:r>
      <w:r>
        <w:t xml:space="preserve">(Kissil 1974)</w:t>
      </w:r>
      <w:r>
        <w:t xml:space="preserve">. Similarly, mortality rates for migratory adults during a spawning season can reach as high as 90% in southern regions</w:t>
      </w:r>
      <w:r>
        <w:t xml:space="preserve"> </w:t>
      </w:r>
      <w:r>
        <w:t xml:space="preserve">(Brady et al. 2005)</w:t>
      </w:r>
      <w:r>
        <w:t xml:space="preserve">.</w:t>
      </w:r>
    </w:p>
    <w:bookmarkEnd w:id="20"/>
    <w:bookmarkStart w:id="23" w:name="habitat-requirements"/>
    <w:p>
      <w:pPr>
        <w:pStyle w:val="Heading2"/>
      </w:pPr>
      <w:r>
        <w:t xml:space="preserve">Habitat Requirements</w:t>
      </w:r>
    </w:p>
    <w:bookmarkStart w:id="21" w:name="spawning-adult-alewives"/>
    <w:p>
      <w:pPr>
        <w:pStyle w:val="Heading3"/>
      </w:pPr>
      <w:r>
        <w:t xml:space="preserve">Spawning Adult Alewives</w:t>
      </w:r>
    </w:p>
    <w:p>
      <w:pPr>
        <w:pStyle w:val="FirstParagraph"/>
      </w:pPr>
      <w:r>
        <w:t xml:space="preserve">Spawning adult alewives exhibit specific preferences and requirements related to habitat characteristics. Their annual migration during spawning is energetically demanding and notable variations in behavior have been observed. Some studies report fasting during the day and extensive feeding at night, while others document refraining from eating until their return downstream to productive tidal habitats</w:t>
      </w:r>
      <w:r>
        <w:t xml:space="preserve"> </w:t>
      </w:r>
      <w:r>
        <w:t xml:space="preserve">(H. B. Bigelow and Schroeder 1953; Janssen and Brandt 1980; A. F. Bigelow et al. 2002)</w:t>
      </w:r>
      <w:r>
        <w:t xml:space="preserve">. The preferred habitats for spawning are lacustrine and fluvial environments rather than riverine</w:t>
      </w:r>
      <w:r>
        <w:t xml:space="preserve"> </w:t>
      </w:r>
      <w:r>
        <w:t xml:space="preserve">(Reback et al. 2004; Frank et al. 2011)</w:t>
      </w:r>
      <w:r>
        <w:t xml:space="preserve">.</w:t>
      </w:r>
    </w:p>
    <w:p>
      <w:pPr>
        <w:pStyle w:val="BodyText"/>
      </w:pPr>
      <w:r>
        <w:t xml:space="preserve">Temperature preferences during spawning vary across studies, but there is a consensus that optimal temperatures for successful spawning fall within the range of 12 to 16 degrees Celsius</w:t>
      </w:r>
      <w:r>
        <w:t xml:space="preserve"> </w:t>
      </w:r>
      <w:r>
        <w:t xml:space="preserve">(Brown et al. 2000)</w:t>
      </w:r>
      <w:r>
        <w:t xml:space="preserve">. Suitable spawning temperatures broadly span from 12 to 22 degrees Celsius</w:t>
      </w:r>
      <w:r>
        <w:t xml:space="preserve"> </w:t>
      </w:r>
      <w:r>
        <w:t xml:space="preserve">(Tyus 1974; Pardue 1983; Collette and Klein-MacPhee 2003; Mather et al. 2012)</w:t>
      </w:r>
      <w:r>
        <w:t xml:space="preserve"> </w:t>
      </w:r>
      <w:r>
        <w:t xml:space="preserve">and during the migration inland, alewives tend to favor offshore locations where bottom temperatures are between 7 and 11 degrees Celsius</w:t>
      </w:r>
      <w:r>
        <w:t xml:space="preserve"> </w:t>
      </w:r>
      <w:r>
        <w:t xml:space="preserve">(</w:t>
      </w:r>
      <w:r>
        <w:rPr>
          <w:bCs/>
          <w:b/>
        </w:rPr>
        <w:t xml:space="preserve">munroe_overview_2000?</w:t>
      </w:r>
      <w:r>
        <w:t xml:space="preserve">)</w:t>
      </w:r>
      <w:r>
        <w:t xml:space="preserve">. Spawning activity significantly diminishes above 27 degrees Celsius</w:t>
      </w:r>
      <w:r>
        <w:t xml:space="preserve"> </w:t>
      </w:r>
      <w:r>
        <w:t xml:space="preserve">(Kissil 1974; Pardue 1983; Brown et al. 2000)</w:t>
      </w:r>
      <w:r>
        <w:t xml:space="preserve">. Deviations from the optimal temperature range can significantly impact spawning success and the timing of migration. Water temperature also plays a critical role in alewife abundance and movement patterns</w:t>
      </w:r>
      <w:r>
        <w:t xml:space="preserve"> </w:t>
      </w:r>
      <w:r>
        <w:t xml:space="preserve">(Legett et al. 2021)</w:t>
      </w:r>
      <w:r>
        <w:t xml:space="preserve">.</w:t>
      </w:r>
    </w:p>
    <w:p>
      <w:pPr>
        <w:pStyle w:val="BodyText"/>
      </w:pPr>
      <w:r>
        <w:t xml:space="preserve">In terms of depth preferences, spawning adult alewives are generally known to favor depths ranging from Mean Low Tide (MLT) to 10 meters</w:t>
      </w:r>
      <w:r>
        <w:t xml:space="preserve"> </w:t>
      </w:r>
      <w:r>
        <w:t xml:space="preserve">(Brown et al. 2000)</w:t>
      </w:r>
      <w:r>
        <w:t xml:space="preserve">, but recent field observations indicate that a significant proportion of alewives can be found in habitats as shallow as 2 meters</w:t>
      </w:r>
      <w:r>
        <w:t xml:space="preserve"> </w:t>
      </w:r>
      <w:r>
        <w:t xml:space="preserve">(Mather et al. 2012)</w:t>
      </w:r>
      <w:r>
        <w:t xml:space="preserve">. Offshore alewives migrating inland have been documented to favor deeper depths (depth &lt; 100m)</w:t>
      </w:r>
      <w:r>
        <w:t xml:space="preserve"> </w:t>
      </w:r>
      <w:r>
        <w:t xml:space="preserve">(Pardue 1983;</w:t>
      </w:r>
      <w:r>
        <w:t xml:space="preserve"> </w:t>
      </w:r>
      <w:r>
        <w:rPr>
          <w:bCs/>
          <w:b/>
        </w:rPr>
        <w:t xml:space="preserve">munroe_overview_2000?</w:t>
      </w:r>
      <w:r>
        <w:t xml:space="preserve">)</w:t>
      </w:r>
      <w:r>
        <w:t xml:space="preserve">. As such, alewives are capable of spawning in both shallow and deep water environments, highlighting their adaptability in selecting suitable spawning locations.</w:t>
      </w:r>
    </w:p>
    <w:p>
      <w:pPr>
        <w:pStyle w:val="BodyText"/>
      </w:pPr>
      <w:r>
        <w:t xml:space="preserve">Further, documented behavior of alewives challenges the conventional belief that anadromous species exclusively depend on freshwater environments for spawning. Alewives have been observed spawning in freshwater habitats with minimal salinity concentrations, revealing a preference for environments with salinity levels below 0.5 psu. However, they can tolerate salinity levels as high as 5 psu for successful spawning, as documented in the study conducted by</w:t>
      </w:r>
      <w:r>
        <w:t xml:space="preserve"> </w:t>
      </w:r>
      <w:r>
        <w:t xml:space="preserve">Pardue (1983)</w:t>
      </w:r>
      <w:r>
        <w:t xml:space="preserve">. More recently,</w:t>
      </w:r>
      <w:r>
        <w:t xml:space="preserve"> </w:t>
      </w:r>
      <w:r>
        <w:t xml:space="preserve">Brown et al. (2000)</w:t>
      </w:r>
      <w:r>
        <w:t xml:space="preserve"> </w:t>
      </w:r>
      <w:r>
        <w:t xml:space="preserve">emphasizes an additional heightened preference for habitats with salinity concentrations below 15 psu, while concentrations surpassing 20 psu are deemed unsuitable for spawning adults. Additionally, field studies have documented that adult alewives engage in spawning activities across a diverse array of estuarine habitats with varying salinity levels, including ponds within coastal systems, pond-like regions within coastal rivers and streams, oxbows, eddies, backwaters, stream pools, and flooded swamps</w:t>
      </w:r>
      <w:r>
        <w:t xml:space="preserve"> </w:t>
      </w:r>
      <w:r>
        <w:t xml:space="preserve">(Pardue 1983; Mullen, Fay, and Moring 1986; Collette and Klein-MacPhee 2003; Walsh, Settle, and Peters 2005)</w:t>
      </w:r>
      <w:r>
        <w:t xml:space="preserve">.</w:t>
      </w:r>
    </w:p>
    <w:p>
      <w:pPr>
        <w:pStyle w:val="BodyText"/>
      </w:pPr>
      <w:r>
        <w:t xml:space="preserve">Flow velocity is a crucial factor influencing the spawning of alewives</w:t>
      </w:r>
      <w:r>
        <w:t xml:space="preserve"> </w:t>
      </w:r>
      <w:r>
        <w:t xml:space="preserve">(Tommasi et al. 2015)</w:t>
      </w:r>
      <w:r>
        <w:t xml:space="preserve">. Alewives are thought to spawn in habitat that are slow moving with little or no current</w:t>
      </w:r>
      <w:r>
        <w:t xml:space="preserve"> </w:t>
      </w:r>
      <w:r>
        <w:t xml:space="preserve">(Walsh, Settle, and Peters 2005)</w:t>
      </w:r>
      <w:r>
        <w:t xml:space="preserve">.</w:t>
      </w:r>
      <w:r>
        <w:t xml:space="preserve"> </w:t>
      </w:r>
      <w:r>
        <w:t xml:space="preserve">Pardue (1983)</w:t>
      </w:r>
      <w:r>
        <w:t xml:space="preserve"> </w:t>
      </w:r>
      <w:r>
        <w:t xml:space="preserve">identifies velocities up to 0.3 m/s as suitable for spawning. However,</w:t>
      </w:r>
      <w:r>
        <w:t xml:space="preserve"> </w:t>
      </w:r>
      <w:r>
        <w:t xml:space="preserve">Haro et al. (2004)</w:t>
      </w:r>
      <w:r>
        <w:t xml:space="preserve"> </w:t>
      </w:r>
      <w:r>
        <w:t xml:space="preserve">conducted laboratory experiments showing that migratory alewives can travel farther distances upstream when flow velocities are up to 1.5 m/s, compared to 3.5 m/s. Notably, these experiments indicate some suitability at these flow velocities and very little suitability for upstream migration when velocities reach 4.5 m/s</w:t>
      </w:r>
      <w:r>
        <w:t xml:space="preserve"> </w:t>
      </w:r>
      <w:r>
        <w:t xml:space="preserve">(Haro et al. 2004)</w:t>
      </w:r>
      <w:r>
        <w:t xml:space="preserve">. Understanding the preferred flow velocities is essential in managing and preserving the habitat conditions required for successful alewife spawning.</w:t>
      </w:r>
    </w:p>
    <w:p>
      <w:pPr>
        <w:pStyle w:val="BodyText"/>
      </w:pPr>
      <w:r>
        <w:t xml:space="preserve">Previous studies have presented conflicting information regarding the substrate preferences of spawning adult alewives, often stemming from the generalization of alewives with blueback herring as river herring. Moreover, although</w:t>
      </w:r>
      <w:r>
        <w:t xml:space="preserve"> </w:t>
      </w:r>
      <w:r>
        <w:t xml:space="preserve">Brown et al. (2000)</w:t>
      </w:r>
      <w:r>
        <w:t xml:space="preserve"> </w:t>
      </w:r>
      <w:r>
        <w:t xml:space="preserve">argues that substrate composition holds no significance in alewife models, contrasting observations from various sources present compelling evidence in favor of a more defined range of substrate preferences among spawning alewives</w:t>
      </w:r>
      <w:r>
        <w:t xml:space="preserve"> </w:t>
      </w:r>
      <w:r>
        <w:t xml:space="preserve">(Fay, Neves, and Pardue 1983; Killgore, Morgan, and Hurley 1988; O’Connell and Angermeier 1997; Able et al. 2020)</w:t>
      </w:r>
      <w:r>
        <w:t xml:space="preserve">. Adult alewives spawn over a range of unconsolidated substrates, including small gravel, sand, vegetation, and other soft substrates</w:t>
      </w:r>
      <w:r>
        <w:t xml:space="preserve"> </w:t>
      </w:r>
      <w:r>
        <w:t xml:space="preserve">(Pardue 1983; O’Connell and Angermeier 1997; Brown et al. 2000)</w:t>
      </w:r>
      <w:r>
        <w:t xml:space="preserve">. Aside from their demonstrated dependence on soft substrates, spawning adult alewives also exhibit a pronounced inclination toward habitats containing sub-aquatic vegetation</w:t>
      </w:r>
      <w:r>
        <w:t xml:space="preserve"> </w:t>
      </w:r>
      <w:r>
        <w:t xml:space="preserve">(Killgore, Morgan, and Hurley 1988; Laney 1997)</w:t>
      </w:r>
      <w:r>
        <w:t xml:space="preserve">. Comprehending and defining these substrate preferences is crucial to effectively manage and conserve the appropriate spawning habitats for alewives.</w:t>
      </w:r>
    </w:p>
    <w:bookmarkEnd w:id="21"/>
    <w:bookmarkStart w:id="22" w:name="X4958ba1516b978f6a4d3f26912027ad9d9bc81d"/>
    <w:p>
      <w:pPr>
        <w:pStyle w:val="Heading3"/>
      </w:pPr>
      <w:r>
        <w:t xml:space="preserve">Non-migratory Juvenile Alewives and Larvae</w:t>
      </w:r>
    </w:p>
    <w:p>
      <w:pPr>
        <w:pStyle w:val="FirstParagraph"/>
      </w:pPr>
      <w:r>
        <w:t xml:space="preserve">Non-migratory juvenile alewives and larvae exhibit distinct habitat preferences and requirements, which play a crucial role in influencing their survival and growth. Several factors influence the abundance and successful development of these young alewives, including river flow, temperature, salinity, depth, and substrate</w:t>
      </w:r>
      <w:r>
        <w:t xml:space="preserve"> </w:t>
      </w:r>
      <w:r>
        <w:t xml:space="preserve">(Pardue 1983; Walsh, Settle, and Peters 2005; Tommasi et al. 2015)</w:t>
      </w:r>
      <w:r>
        <w:t xml:space="preserve">. The preferred habitats for juveniles and alewife larvae are also lacustrine and fluvial environments</w:t>
      </w:r>
      <w:r>
        <w:t xml:space="preserve"> </w:t>
      </w:r>
      <w:r>
        <w:t xml:space="preserve">(Overton, Jones, and Rulifson 2012)</w:t>
      </w:r>
      <w:r>
        <w:t xml:space="preserve">.</w:t>
      </w:r>
    </w:p>
    <w:p>
      <w:pPr>
        <w:pStyle w:val="BodyText"/>
      </w:pPr>
      <w:r>
        <w:t xml:space="preserve">Temperature significantly influences the distribution, behavior, and early development of non-migratory juvenile alewives and larvae</w:t>
      </w:r>
      <w:r>
        <w:t xml:space="preserve"> </w:t>
      </w:r>
      <w:r>
        <w:t xml:space="preserve">(Tommasi et al. 2015)</w:t>
      </w:r>
      <w:r>
        <w:t xml:space="preserve">. Optimal temperatures for juvenile alewife development and larvae hatching fall within the range of 17°C to 22°C, with a broader suitability range for juvenile and larvae recruitment from 11°C to 28°C</w:t>
      </w:r>
      <w:r>
        <w:t xml:space="preserve"> </w:t>
      </w:r>
      <w:r>
        <w:t xml:space="preserve">(Pardue 1983; Fay, Neves, and Pardue 1983; Klauda, Fischer, and Sullivan 1991; Brown et al. 2000;</w:t>
      </w:r>
      <w:r>
        <w:t xml:space="preserve"> </w:t>
      </w:r>
      <w:r>
        <w:rPr>
          <w:bCs/>
          <w:b/>
        </w:rPr>
        <w:t xml:space="preserve">munroe_overview_2000?</w:t>
      </w:r>
      <w:r>
        <w:t xml:space="preserve">; Tommasi et al. 2015)</w:t>
      </w:r>
      <w:r>
        <w:t xml:space="preserve">. Juvenile river herring do not survive temperatures of 3°C or less and hatching success ceases entirely above 29.7°C</w:t>
      </w:r>
      <w:r>
        <w:t xml:space="preserve"> </w:t>
      </w:r>
      <w:r>
        <w:t xml:space="preserve">(Otto, Kitchel, and Rice 1976;</w:t>
      </w:r>
      <w:r>
        <w:t xml:space="preserve"> </w:t>
      </w:r>
      <w:r>
        <w:rPr>
          <w:bCs/>
          <w:b/>
        </w:rPr>
        <w:t xml:space="preserve">kellogg_temperature_1982?</w:t>
      </w:r>
      <w:r>
        <w:t xml:space="preserve">; Pardue 1983)</w:t>
      </w:r>
      <w:r>
        <w:t xml:space="preserve">. Maintaining water temperatures within these ranges is crucial for the successful development and overall health of non-migratory juvenile alewives and larvae.</w:t>
      </w:r>
    </w:p>
    <w:p>
      <w:pPr>
        <w:pStyle w:val="BodyText"/>
      </w:pPr>
      <w:r>
        <w:t xml:space="preserve">The depth preferences of non-migratory juvenile alewives differ from their adult counterparts, as juveniles exhibit a preference for depths ranging from 0 to 10 meters, with no habitat suitability observed beyond 20 meters</w:t>
      </w:r>
      <w:r>
        <w:t xml:space="preserve"> </w:t>
      </w:r>
      <w:r>
        <w:t xml:space="preserve">(Brown et al. 2000; Höök et al. 2008)</w:t>
      </w:r>
      <w:r>
        <w:t xml:space="preserve">. Research by</w:t>
      </w:r>
      <w:r>
        <w:t xml:space="preserve"> </w:t>
      </w:r>
      <w:r>
        <w:t xml:space="preserve">Pardue (1983)</w:t>
      </w:r>
      <w:r>
        <w:t xml:space="preserve"> </w:t>
      </w:r>
      <w:r>
        <w:t xml:space="preserve">further supports this finding, indicating that juveniles prefer depths between 0.5 to 5 meters. Lake Ontario research by</w:t>
      </w:r>
      <w:r>
        <w:t xml:space="preserve"> </w:t>
      </w:r>
      <w:r>
        <w:t xml:space="preserve">Ingel (2013)</w:t>
      </w:r>
      <w:r>
        <w:t xml:space="preserve"> </w:t>
      </w:r>
      <w:r>
        <w:t xml:space="preserve">found that early post-hatch larvae are abundant in depths less than 3 meters, while larger larvae occupy progressively deeper habitats. Similarly, observations in Nova Scotia’s Margaree River indicate that alewife larvae predominantly reside in depths shallower than 2 meters, while juvenile abundance increases around five meters deep</w:t>
      </w:r>
      <w:r>
        <w:t xml:space="preserve"> </w:t>
      </w:r>
      <w:r>
        <w:t xml:space="preserve">(Gibson and Myers 2003)</w:t>
      </w:r>
      <w:r>
        <w:t xml:space="preserve">. Overall, these field observations indicate that optimal depth for juvenile alewives and larvae is &lt;5 meters. These shallow-water habitats provide protection from predators and access to food sources, facilitating growth before downstream migration.</w:t>
      </w:r>
    </w:p>
    <w:p>
      <w:pPr>
        <w:pStyle w:val="BodyText"/>
      </w:pPr>
      <w:r>
        <w:t xml:space="preserve">Juvenile alewives exhibit a distinct salinity preference, favoring concentrations exceeding 10 psu and even tolerating levels up to 30 psu</w:t>
      </w:r>
      <w:r>
        <w:t xml:space="preserve"> </w:t>
      </w:r>
      <w:r>
        <w:t xml:space="preserve">(Pardue 1983; Brown et al. 2000)</w:t>
      </w:r>
      <w:r>
        <w:t xml:space="preserve">. Research by</w:t>
      </w:r>
      <w:r>
        <w:t xml:space="preserve"> </w:t>
      </w:r>
      <w:r>
        <w:t xml:space="preserve">Fay, Neves, and Pardue (1983)</w:t>
      </w:r>
      <w:r>
        <w:t xml:space="preserve"> </w:t>
      </w:r>
      <w:r>
        <w:t xml:space="preserve">notes their presence in areas with salinity below 12 psu, indicating adaptability to lower salinity environments.</w:t>
      </w:r>
      <w:r>
        <w:t xml:space="preserve"> </w:t>
      </w:r>
      <w:r>
        <w:t xml:space="preserve">Turner and Limburg (2016)</w:t>
      </w:r>
      <w:r>
        <w:t xml:space="preserve"> </w:t>
      </w:r>
      <w:r>
        <w:t xml:space="preserve">along with</w:t>
      </w:r>
      <w:r>
        <w:t xml:space="preserve"> </w:t>
      </w:r>
      <w:r>
        <w:t xml:space="preserve">Able et al. (2020)</w:t>
      </w:r>
      <w:r>
        <w:t xml:space="preserve"> </w:t>
      </w:r>
      <w:r>
        <w:t xml:space="preserve">emphasize the preference of juveniles for estuarine habitats with salinity concentrations spanning 0.5 to 25 psu, promoting an ideal balance between freshwater and marine conditions for growth. While salinities exceeding 20 psu might impede suitability by affecting feeding and physiological processes</w:t>
      </w:r>
      <w:r>
        <w:t xml:space="preserve"> </w:t>
      </w:r>
      <w:r>
        <w:t xml:space="preserve">(Fabrizio et al. 2021)</w:t>
      </w:r>
      <w:r>
        <w:t xml:space="preserve">, higher salinities up to 30 psu show minimal adverse effects on the health and survival of juvenile alewives, with a 100% survival rate observed at 15 psu</w:t>
      </w:r>
      <w:r>
        <w:t xml:space="preserve"> </w:t>
      </w:r>
      <w:r>
        <w:t xml:space="preserve">(DiMaggio et al. 2015)</w:t>
      </w:r>
      <w:r>
        <w:t xml:space="preserve">. In summary, juvenile alewives exhibit a versatile salinity preference that ranges from thriving in concentrations exceeding 10 psu up to tolerating levels as high as 30 psu, highlighting their adaptability to diverse environments for optimal growth and survival.</w:t>
      </w:r>
    </w:p>
    <w:p>
      <w:pPr>
        <w:pStyle w:val="BodyText"/>
      </w:pPr>
      <w:r>
        <w:t xml:space="preserve">Flow velocity is a crucial determinant of the development and survival of non-migratory juvenile alewives</w:t>
      </w:r>
      <w:r>
        <w:t xml:space="preserve"> </w:t>
      </w:r>
      <w:r>
        <w:t xml:space="preserve">(Tommasi et al. 2015)</w:t>
      </w:r>
      <w:r>
        <w:t xml:space="preserve">. Previous optimal velocities for larvae and egg development were observed from 0 to 0.3 m/s</w:t>
      </w:r>
      <w:r>
        <w:t xml:space="preserve"> </w:t>
      </w:r>
      <w:r>
        <w:t xml:space="preserve">(Pardue 1983)</w:t>
      </w:r>
      <w:r>
        <w:t xml:space="preserve">. Other studies document juvenile alewife preference for habitats with flow velocities ranging from 0.05 to 0.17 m/s</w:t>
      </w:r>
      <w:r>
        <w:t xml:space="preserve"> </w:t>
      </w:r>
      <w:r>
        <w:t xml:space="preserve">(Richkus 1975; O’Connell and Angermeier 1999)</w:t>
      </w:r>
      <w:r>
        <w:t xml:space="preserve">. Larval alewives are consistently found in water velocities up to approximately 0.12 m/s, but they are absent in faster currents</w:t>
      </w:r>
      <w:r>
        <w:t xml:space="preserve"> </w:t>
      </w:r>
      <w:r>
        <w:t xml:space="preserve">(Ingel 2013)</w:t>
      </w:r>
      <w:r>
        <w:t xml:space="preserve">. Slower flow rates offer suitable conditions for juveniles and larvae to conserve energy while effectively foraging for food</w:t>
      </w:r>
      <w:r>
        <w:t xml:space="preserve"> </w:t>
      </w:r>
      <w:r>
        <w:t xml:space="preserve">(Haro et al. 2004)</w:t>
      </w:r>
      <w:r>
        <w:t xml:space="preserve">. Conversely, higher flow velocities may hinder their ability to access critical food resources, maintain their position in the water column, and displace recently spawned eggs from their initial location</w:t>
      </w:r>
      <w:r>
        <w:t xml:space="preserve"> </w:t>
      </w:r>
      <w:r>
        <w:t xml:space="preserve">(Haro et al. 2004; Able et al. 2020)</w:t>
      </w:r>
      <w:r>
        <w:t xml:space="preserve">. Understanding the flow velocity preferences and effects on non-migratory juvenile alewives and larvae is crucial for effective habitat management and successful transition from egg to adulthood.</w:t>
      </w:r>
    </w:p>
    <w:p>
      <w:pPr>
        <w:pStyle w:val="BodyText"/>
      </w:pPr>
      <w:r>
        <w:t xml:space="preserve">non-migratory juvenile alewives exhibit diverse substrate preferences that reflect their adaptability to various environments. While previous studies suggest a preference for sandy substrates</w:t>
      </w:r>
      <w:r>
        <w:t xml:space="preserve"> </w:t>
      </w:r>
      <w:r>
        <w:t xml:space="preserve">Fay, Neves, and Pardue (1983)</w:t>
      </w:r>
      <w:r>
        <w:t xml:space="preserve">, more recent observations indicate a potential preference for rocky substrates</w:t>
      </w:r>
      <w:r>
        <w:t xml:space="preserve"> </w:t>
      </w:r>
      <w:r>
        <w:t xml:space="preserve">(Janssen and Luebke 2004;</w:t>
      </w:r>
      <w:r>
        <w:t xml:space="preserve"> </w:t>
      </w:r>
      <w:r>
        <w:rPr>
          <w:bCs/>
          <w:b/>
        </w:rPr>
        <w:t xml:space="preserve">boscarino_influence_2020?</w:t>
      </w:r>
      <w:r>
        <w:t xml:space="preserve">)</w:t>
      </w:r>
      <w:r>
        <w:t xml:space="preserve">. Seagrass coverage also plays a vital role in the habitat of these juveniles. Despite some studies suggesting avoidance of areas with aquatic vegetation</w:t>
      </w:r>
      <w:r>
        <w:t xml:space="preserve"> </w:t>
      </w:r>
      <w:r>
        <w:t xml:space="preserve">Ingel (2013)</w:t>
      </w:r>
      <w:r>
        <w:t xml:space="preserve">, research by</w:t>
      </w:r>
      <w:r>
        <w:t xml:space="preserve"> </w:t>
      </w:r>
      <w:r>
        <w:t xml:space="preserve">Laney (1997)</w:t>
      </w:r>
      <w:r>
        <w:t xml:space="preserve"> </w:t>
      </w:r>
      <w:r>
        <w:t xml:space="preserve">and</w:t>
      </w:r>
      <w:r>
        <w:t xml:space="preserve"> </w:t>
      </w:r>
      <w:r>
        <w:t xml:space="preserve">Smith and Rulifson (2015)</w:t>
      </w:r>
      <w:r>
        <w:t xml:space="preserve"> </w:t>
      </w:r>
      <w:r>
        <w:t xml:space="preserve">demonstrates that seagrass beds provide essential nursery habitat, offering refuge from predators and abundant food sources. Seagrass beds enhance water quality by stabilizing sediments and promoting nutrient cycling, creating a favorable environment for juvenile alewives to thrive. These vegetated areas are also crucial for overwintering habitat</w:t>
      </w:r>
      <w:r>
        <w:t xml:space="preserve"> </w:t>
      </w:r>
      <w:r>
        <w:t xml:space="preserve">(Killgore, Morgan, and Hurley 1988)</w:t>
      </w:r>
      <w:r>
        <w:t xml:space="preserve">. Understanding these diverse substrate preferences and the importance of seagrass coverage is essential for effective habitat management and the successful development of non-migratory juvenile alewives.</w:t>
      </w:r>
    </w:p>
    <w:bookmarkEnd w:id="22"/>
    <w:bookmarkEnd w:id="23"/>
    <w:bookmarkStart w:id="33" w:name="habitat-suitability-models"/>
    <w:p>
      <w:pPr>
        <w:pStyle w:val="Heading2"/>
      </w:pPr>
      <w:r>
        <w:t xml:space="preserve">Habitat suitability models</w:t>
      </w:r>
    </w:p>
    <w:p>
      <w:pPr>
        <w:pStyle w:val="FirstParagraph"/>
      </w:pPr>
      <w:r>
        <w:t xml:space="preserve">The Alewives Habitat Suitability models, originally developed by</w:t>
      </w:r>
      <w:r>
        <w:t xml:space="preserve"> </w:t>
      </w:r>
      <w:r>
        <w:t xml:space="preserve">Brown et al. (2000)</w:t>
      </w:r>
      <w:r>
        <w:t xml:space="preserve"> </w:t>
      </w:r>
      <w:r>
        <w:t xml:space="preserve">and</w:t>
      </w:r>
      <w:r>
        <w:t xml:space="preserve"> </w:t>
      </w:r>
      <w:r>
        <w:t xml:space="preserve">Pardue (1983)</w:t>
      </w:r>
      <w:r>
        <w:t xml:space="preserve">, with reliance on similar sources such as</w:t>
      </w:r>
      <w:r>
        <w:t xml:space="preserve"> </w:t>
      </w:r>
      <w:r>
        <w:t xml:space="preserve">H. B. Bigelow and Schroeder (1953)</w:t>
      </w:r>
      <w:r>
        <w:t xml:space="preserve">, possess several limitations that make them inadequate for current applications. Primarily, these models are constructed solely on observations of alewives’ daytime behavior, neglecting their significant nocturnal activity patterns. Recent studies have revealed that alewives are primarily active at night, engaging in feeding and exhibiting substantial downstream movement during these nocturnal periods</w:t>
      </w:r>
      <w:r>
        <w:t xml:space="preserve"> </w:t>
      </w:r>
      <w:r>
        <w:t xml:space="preserve">(Janssen 1978; Janssen and Brandt 1980; McCartin et al. 2019)</w:t>
      </w:r>
      <w:r>
        <w:t xml:space="preserve">.</w:t>
      </w:r>
      <w:r>
        <w:t xml:space="preserve"> </w:t>
      </w:r>
      <w:r>
        <w:t xml:space="preserve">Collette and Klein-MacPhee (2003)</w:t>
      </w:r>
      <w:r>
        <w:t xml:space="preserve"> </w:t>
      </w:r>
      <w:r>
        <w:t xml:space="preserve">even notes that groups of alewives spawn in the evening. Consequently, the exclusive focus on daytime behavior in the existing models fails to capture the true habitat preferences and requirements of alewives, particularly in estuary and brackish environments.</w:t>
      </w:r>
    </w:p>
    <w:p>
      <w:pPr>
        <w:pStyle w:val="BodyText"/>
      </w:pPr>
      <w:r>
        <w:t xml:space="preserve">Furthermore, the current models predominantly consider variables such as temperature, depth, and substrate, while disregarding other crucial factors that significantly influence alewives’ habitat selection, including flow velocity, sub-aquatic vegetation, and life stage differences. This limited scope results in incomplete assessments of habitat suitability. Moreover, the existing models fall short of encompassing the comprehensive spectrum of knowledge available for alewives, as inconsistencies and potential inaccuracies emerge from conflicting information concerning substrate, salinity, and depth preferences. These limitations undermine the models’ effectiveness in predicting habitat suitability for alewives, and since the release of these models, updated observations and stock assessments have been published that offer more detailed information on the habitat for alewives.</w:t>
      </w:r>
    </w:p>
    <w:p>
      <w:pPr>
        <w:pStyle w:val="BodyText"/>
      </w:pPr>
      <w:r>
        <w:t xml:space="preserve">To address these shortcomings, updated models should encompass a more comprehensive understanding of alewives’ behavior, specifically acknowledging their use of estuarine and brackish habitats. These habitats serve as critical areas for alewives, exhibiting relatively high levels of habitat use</w:t>
      </w:r>
      <w:r>
        <w:t xml:space="preserve"> </w:t>
      </w:r>
      <w:r>
        <w:t xml:space="preserve">(McCartin et al. 2019;</w:t>
      </w:r>
      <w:r>
        <w:t xml:space="preserve"> </w:t>
      </w:r>
      <w:r>
        <w:rPr>
          <w:bCs/>
          <w:b/>
        </w:rPr>
        <w:t xml:space="preserve">stevens_evidence_2021?</w:t>
      </w:r>
      <w:r>
        <w:t xml:space="preserve">)</w:t>
      </w:r>
      <w:r>
        <w:t xml:space="preserve">. Incorporating these estuarine and brackish areas into management strategies is of paramount importance to ensure the conservation and successful management of the species. Notably, utilizing estuaries and brackish habitats for spawning may offer energetically favorable conditions for alewives, as it eliminates the need for them to acclimate to complete freshwater environments</w:t>
      </w:r>
      <w:r>
        <w:t xml:space="preserve"> </w:t>
      </w:r>
      <w:r>
        <w:t xml:space="preserve">(DiMaggio et al. 2015)</w:t>
      </w:r>
      <w:r>
        <w:t xml:space="preserve">. This recognition highlights the significance of incorporating these habitats into conservation efforts and management plans to safeguard the species and support their reproductive success.</w:t>
      </w:r>
    </w:p>
    <w:bookmarkStart w:id="27" w:name="spawning-adult-alewives-1"/>
    <w:p>
      <w:pPr>
        <w:pStyle w:val="Heading3"/>
      </w:pPr>
      <w:r>
        <w:t xml:space="preserve">Spawning Adult Alewives</w:t>
      </w:r>
    </w:p>
    <w:p>
      <w:pPr>
        <w:pStyle w:val="FirstParagraph"/>
      </w:pPr>
      <w:r>
        <w:t xml:space="preserve">The updated HSI model for spawning adult alewives introduces several noteworthy breakpoints that distinguish it from previous models. These breakpoints provide a more refined understanding of alewife habitat preferences and suitability.</w:t>
      </w:r>
    </w:p>
    <w:p>
      <w:pPr>
        <w:pStyle w:val="SourceCode"/>
      </w:pPr>
      <w:r>
        <w:rPr>
          <w:rStyle w:val="VerbatimChar"/>
        </w:rPr>
        <w:t xml:space="preserve">## Warning: package 'ggplot2' was built under R version 4.1.3</w:t>
      </w:r>
    </w:p>
    <w:p>
      <w:pPr>
        <w:pStyle w:val="CaptionedFigure"/>
      </w:pPr>
      <w:r>
        <w:drawing>
          <wp:inline>
            <wp:extent cx="4267200" cy="1896533"/>
            <wp:effectExtent b="0" l="0" r="0" t="0"/>
            <wp:docPr descr="Spawning Adult Alewife Temperature Suitability Indices" title="" id="25" name="Picture"/>
            <a:graphic>
              <a:graphicData uri="http://schemas.openxmlformats.org/drawingml/2006/picture">
                <pic:pic>
                  <pic:nvPicPr>
                    <pic:cNvPr descr="Fig01.Adult_Alewife_Temp_HSI.jpeg" id="26" name="Picture"/>
                    <pic:cNvPicPr>
                      <a:picLocks noChangeArrowheads="1" noChangeAspect="1"/>
                    </pic:cNvPicPr>
                  </pic:nvPicPr>
                  <pic:blipFill>
                    <a:blip r:embed="rId24"/>
                    <a:stretch>
                      <a:fillRect/>
                    </a:stretch>
                  </pic:blipFill>
                  <pic:spPr bwMode="auto">
                    <a:xfrm>
                      <a:off x="0" y="0"/>
                      <a:ext cx="4267200" cy="1896533"/>
                    </a:xfrm>
                    <a:prstGeom prst="rect">
                      <a:avLst/>
                    </a:prstGeom>
                    <a:noFill/>
                    <a:ln w="9525">
                      <a:noFill/>
                      <a:headEnd/>
                      <a:tailEnd/>
                    </a:ln>
                  </pic:spPr>
                </pic:pic>
              </a:graphicData>
            </a:graphic>
          </wp:inline>
        </w:drawing>
      </w:r>
    </w:p>
    <w:p>
      <w:pPr>
        <w:pStyle w:val="ImageCaption"/>
      </w:pPr>
      <w:r>
        <w:t xml:space="preserve">Spawning Adult Alewife Temperature Suitability Indices</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package 'knitr' was built under R version 4.1.3</w:t>
      </w:r>
    </w:p>
    <w:p>
      <w:pPr>
        <w:pStyle w:val="SourceCode"/>
      </w:pPr>
      <w:r>
        <w:rPr>
          <w:rStyle w:val="VerbatimChar"/>
        </w:rPr>
        <w:t xml:space="preserve">## Warning: package 'kableExtra' was built under R version 4.1.3</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Mean Daily Water Temperature: Spawning Adult Alewives</w:t>
      </w:r>
    </w:p>
    <w:tbl>
      <w:tblPr>
        <w:tblStyle w:val="Table"/>
        <w:tblW w:type="auto" w:w="0"/>
        <w:tblLook w:firstRow="1" w:lastRow="0" w:firstColumn="0" w:lastColumn="0" w:noHBand="0" w:noVBand="0" w:val="0020"/>
        <w:jc w:val="start"/>
        <w:tblCaption w:val="Suitability Indices for Mean Daily Water Temperature: Spawning Adult Alewives"/>
      </w:tblPr>
      <w:tblGrid>
        <w:gridCol w:w="2640"/>
        <w:gridCol w:w="2640"/>
        <w:gridCol w:w="2640"/>
      </w:tblGrid>
      <w:tr>
        <w:trPr>
          <w:tblHeader w:val="true"/>
        </w:trPr>
        <w:tc>
          <w:tcPr/>
          <w:p>
            <w:pPr>
              <w:pStyle w:val="Compact"/>
            </w:pPr>
          </w:p>
        </w:tc>
        <w:tc>
          <w:tcPr/>
          <w:p>
            <w:pPr>
              <w:pStyle w:val="Compact"/>
              <w:jc w:val="center"/>
            </w:pPr>
            <w:r>
              <w:t xml:space="preserve">Temperature Range (C)</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0-8</w:t>
            </w:r>
          </w:p>
        </w:tc>
        <w:tc>
          <w:tcPr/>
          <w:p>
            <w:pPr>
              <w:pStyle w:val="Compact"/>
              <w:jc w:val="center"/>
            </w:pPr>
            <w:r>
              <w:t xml:space="preserve">0</w:t>
            </w:r>
          </w:p>
        </w:tc>
      </w:tr>
      <w:tr>
        <w:tc>
          <w:tcPr/>
          <w:p>
            <w:pPr>
              <w:pStyle w:val="Compact"/>
            </w:pPr>
          </w:p>
        </w:tc>
        <w:tc>
          <w:tcPr/>
          <w:p>
            <w:pPr>
              <w:pStyle w:val="Compact"/>
              <w:jc w:val="center"/>
            </w:pPr>
            <w:r>
              <w:t xml:space="preserve">8-12</w:t>
            </w:r>
          </w:p>
        </w:tc>
        <w:tc>
          <w:tcPr/>
          <w:p>
            <w:pPr>
              <w:pStyle w:val="Compact"/>
              <w:jc w:val="center"/>
            </w:pPr>
            <w:r>
              <w:t xml:space="preserve">0.5</w:t>
            </w:r>
          </w:p>
        </w:tc>
      </w:tr>
      <w:tr>
        <w:tc>
          <w:tcPr/>
          <w:p>
            <w:pPr>
              <w:pStyle w:val="Compact"/>
            </w:pPr>
          </w:p>
        </w:tc>
        <w:tc>
          <w:tcPr/>
          <w:p>
            <w:pPr>
              <w:pStyle w:val="Compact"/>
              <w:jc w:val="center"/>
            </w:pPr>
            <w:r>
              <w:t xml:space="preserve">12-16</w:t>
            </w:r>
          </w:p>
        </w:tc>
        <w:tc>
          <w:tcPr/>
          <w:p>
            <w:pPr>
              <w:pStyle w:val="Compact"/>
              <w:jc w:val="center"/>
            </w:pPr>
            <w:r>
              <w:t xml:space="preserve">1</w:t>
            </w:r>
          </w:p>
        </w:tc>
      </w:tr>
      <w:tr>
        <w:tc>
          <w:tcPr/>
          <w:p>
            <w:pPr>
              <w:pStyle w:val="Compact"/>
            </w:pPr>
          </w:p>
        </w:tc>
        <w:tc>
          <w:tcPr/>
          <w:p>
            <w:pPr>
              <w:pStyle w:val="Compact"/>
              <w:jc w:val="center"/>
            </w:pPr>
            <w:r>
              <w:t xml:space="preserve">16-22</w:t>
            </w:r>
          </w:p>
        </w:tc>
        <w:tc>
          <w:tcPr/>
          <w:p>
            <w:pPr>
              <w:pStyle w:val="Compact"/>
              <w:jc w:val="center"/>
            </w:pPr>
            <w:r>
              <w:t xml:space="preserve">1</w:t>
            </w:r>
          </w:p>
        </w:tc>
      </w:tr>
      <w:tr>
        <w:tc>
          <w:tcPr/>
          <w:p>
            <w:pPr>
              <w:pStyle w:val="Compact"/>
            </w:pPr>
          </w:p>
        </w:tc>
        <w:tc>
          <w:tcPr/>
          <w:p>
            <w:pPr>
              <w:pStyle w:val="Compact"/>
              <w:jc w:val="center"/>
            </w:pPr>
            <w:r>
              <w:t xml:space="preserve">22-27</w:t>
            </w:r>
          </w:p>
        </w:tc>
        <w:tc>
          <w:tcPr/>
          <w:p>
            <w:pPr>
              <w:pStyle w:val="Compact"/>
              <w:jc w:val="center"/>
            </w:pPr>
            <w:r>
              <w:t xml:space="preserve">0.5</w:t>
            </w:r>
          </w:p>
        </w:tc>
      </w:tr>
      <w:tr>
        <w:tc>
          <w:tcPr/>
          <w:p>
            <w:pPr>
              <w:pStyle w:val="Compact"/>
            </w:pPr>
          </w:p>
        </w:tc>
        <w:tc>
          <w:tcPr/>
          <w:p>
            <w:pPr>
              <w:pStyle w:val="Compact"/>
              <w:jc w:val="center"/>
            </w:pPr>
            <w:r>
              <w:t xml:space="preserve">27-30</w:t>
            </w:r>
          </w:p>
        </w:tc>
        <w:tc>
          <w:tcPr/>
          <w:p>
            <w:pPr>
              <w:pStyle w:val="Compact"/>
              <w:jc w:val="center"/>
            </w:pPr>
            <w:r>
              <w:t xml:space="preserve">0.1</w:t>
            </w:r>
          </w:p>
        </w:tc>
      </w:tr>
      <w:tr>
        <w:tc>
          <w:tcPr/>
          <w:p>
            <w:pPr>
              <w:pStyle w:val="Compact"/>
            </w:pPr>
          </w:p>
        </w:tc>
        <w:tc>
          <w:tcPr/>
          <w:p>
            <w:pPr>
              <w:pStyle w:val="Compact"/>
              <w:jc w:val="center"/>
            </w:pPr>
            <w:r>
              <w:t xml:space="preserve">30+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0-10</w:t>
            </w:r>
          </w:p>
        </w:tc>
        <w:tc>
          <w:tcPr/>
          <w:p>
            <w:pPr>
              <w:pStyle w:val="Compact"/>
              <w:jc w:val="center"/>
            </w:pPr>
            <w:r>
              <w:t xml:space="preserve">0</w:t>
            </w:r>
          </w:p>
        </w:tc>
      </w:tr>
      <w:tr>
        <w:tc>
          <w:tcPr/>
          <w:p>
            <w:pPr>
              <w:pStyle w:val="Compact"/>
            </w:pPr>
          </w:p>
        </w:tc>
        <w:tc>
          <w:tcPr/>
          <w:p>
            <w:pPr>
              <w:pStyle w:val="Compact"/>
              <w:jc w:val="center"/>
            </w:pPr>
            <w:r>
              <w:t xml:space="preserve">10-15</w:t>
            </w:r>
          </w:p>
        </w:tc>
        <w:tc>
          <w:tcPr/>
          <w:p>
            <w:pPr>
              <w:pStyle w:val="Compact"/>
              <w:jc w:val="center"/>
            </w:pPr>
            <w:r>
              <w:t xml:space="preserve">0.5</w:t>
            </w:r>
          </w:p>
        </w:tc>
      </w:tr>
      <w:tr>
        <w:tc>
          <w:tcPr/>
          <w:p>
            <w:pPr>
              <w:pStyle w:val="Compact"/>
            </w:pPr>
          </w:p>
        </w:tc>
        <w:tc>
          <w:tcPr/>
          <w:p>
            <w:pPr>
              <w:pStyle w:val="Compact"/>
              <w:jc w:val="center"/>
            </w:pPr>
            <w:r>
              <w:t xml:space="preserve">15-20</w:t>
            </w:r>
          </w:p>
        </w:tc>
        <w:tc>
          <w:tcPr/>
          <w:p>
            <w:pPr>
              <w:pStyle w:val="Compact"/>
              <w:jc w:val="center"/>
            </w:pPr>
            <w:r>
              <w:t xml:space="preserve">1</w:t>
            </w:r>
          </w:p>
        </w:tc>
      </w:tr>
      <w:tr>
        <w:tc>
          <w:tcPr/>
          <w:p>
            <w:pPr>
              <w:pStyle w:val="Compact"/>
            </w:pPr>
          </w:p>
        </w:tc>
        <w:tc>
          <w:tcPr/>
          <w:p>
            <w:pPr>
              <w:pStyle w:val="Compact"/>
              <w:jc w:val="center"/>
            </w:pPr>
            <w:r>
              <w:t xml:space="preserve">20-27</w:t>
            </w:r>
          </w:p>
        </w:tc>
        <w:tc>
          <w:tcPr/>
          <w:p>
            <w:pPr>
              <w:pStyle w:val="Compact"/>
              <w:jc w:val="center"/>
            </w:pPr>
            <w:r>
              <w:t xml:space="preserve">0.5</w:t>
            </w:r>
          </w:p>
        </w:tc>
      </w:tr>
      <w:tr>
        <w:tc>
          <w:tcPr/>
          <w:p>
            <w:pPr>
              <w:pStyle w:val="Compact"/>
            </w:pPr>
          </w:p>
        </w:tc>
        <w:tc>
          <w:tcPr/>
          <w:p>
            <w:pPr>
              <w:pStyle w:val="Compact"/>
              <w:jc w:val="center"/>
            </w:pPr>
            <w:r>
              <w:t xml:space="preserve">27+</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0-8</w:t>
            </w:r>
          </w:p>
        </w:tc>
        <w:tc>
          <w:tcPr/>
          <w:p>
            <w:pPr>
              <w:pStyle w:val="Compact"/>
              <w:jc w:val="center"/>
            </w:pPr>
            <w:r>
              <w:t xml:space="preserve">0</w:t>
            </w:r>
          </w:p>
        </w:tc>
      </w:tr>
      <w:tr>
        <w:tc>
          <w:tcPr/>
          <w:p>
            <w:pPr>
              <w:pStyle w:val="Compact"/>
            </w:pPr>
          </w:p>
        </w:tc>
        <w:tc>
          <w:tcPr/>
          <w:p>
            <w:pPr>
              <w:pStyle w:val="Compact"/>
              <w:jc w:val="center"/>
            </w:pPr>
            <w:r>
              <w:t xml:space="preserve">8-10</w:t>
            </w:r>
          </w:p>
        </w:tc>
        <w:tc>
          <w:tcPr/>
          <w:p>
            <w:pPr>
              <w:pStyle w:val="Compact"/>
              <w:jc w:val="center"/>
            </w:pPr>
            <w:r>
              <w:t xml:space="preserve">0.1</w:t>
            </w:r>
          </w:p>
        </w:tc>
      </w:tr>
      <w:tr>
        <w:tc>
          <w:tcPr/>
          <w:p>
            <w:pPr>
              <w:pStyle w:val="Compact"/>
            </w:pPr>
          </w:p>
        </w:tc>
        <w:tc>
          <w:tcPr/>
          <w:p>
            <w:pPr>
              <w:pStyle w:val="Compact"/>
              <w:jc w:val="center"/>
            </w:pPr>
            <w:r>
              <w:t xml:space="preserve">10-12</w:t>
            </w:r>
          </w:p>
        </w:tc>
        <w:tc>
          <w:tcPr/>
          <w:p>
            <w:pPr>
              <w:pStyle w:val="Compact"/>
              <w:jc w:val="center"/>
            </w:pPr>
            <w:r>
              <w:t xml:space="preserve">0.5</w:t>
            </w:r>
          </w:p>
        </w:tc>
      </w:tr>
      <w:tr>
        <w:tc>
          <w:tcPr/>
          <w:p>
            <w:pPr>
              <w:pStyle w:val="Compact"/>
            </w:pPr>
          </w:p>
        </w:tc>
        <w:tc>
          <w:tcPr/>
          <w:p>
            <w:pPr>
              <w:pStyle w:val="Compact"/>
              <w:jc w:val="center"/>
            </w:pPr>
            <w:r>
              <w:t xml:space="preserve">12-16</w:t>
            </w:r>
          </w:p>
        </w:tc>
        <w:tc>
          <w:tcPr/>
          <w:p>
            <w:pPr>
              <w:pStyle w:val="Compact"/>
              <w:jc w:val="center"/>
            </w:pPr>
            <w:r>
              <w:t xml:space="preserve">1</w:t>
            </w:r>
          </w:p>
        </w:tc>
      </w:tr>
      <w:tr>
        <w:tc>
          <w:tcPr/>
          <w:p>
            <w:pPr>
              <w:pStyle w:val="Compact"/>
            </w:pPr>
          </w:p>
        </w:tc>
        <w:tc>
          <w:tcPr/>
          <w:p>
            <w:pPr>
              <w:pStyle w:val="Compact"/>
              <w:jc w:val="center"/>
            </w:pPr>
            <w:r>
              <w:t xml:space="preserve">16-18</w:t>
            </w:r>
          </w:p>
        </w:tc>
        <w:tc>
          <w:tcPr/>
          <w:p>
            <w:pPr>
              <w:pStyle w:val="Compact"/>
              <w:jc w:val="center"/>
            </w:pPr>
            <w:r>
              <w:t xml:space="preserve">0.5</w:t>
            </w:r>
          </w:p>
        </w:tc>
      </w:tr>
      <w:tr>
        <w:tc>
          <w:tcPr/>
          <w:p>
            <w:pPr>
              <w:pStyle w:val="Compact"/>
            </w:pPr>
          </w:p>
        </w:tc>
        <w:tc>
          <w:tcPr/>
          <w:p>
            <w:pPr>
              <w:pStyle w:val="Compact"/>
              <w:jc w:val="center"/>
            </w:pPr>
            <w:r>
              <w:t xml:space="preserve">18-20</w:t>
            </w:r>
          </w:p>
        </w:tc>
        <w:tc>
          <w:tcPr/>
          <w:p>
            <w:pPr>
              <w:pStyle w:val="Compact"/>
              <w:jc w:val="center"/>
            </w:pPr>
            <w:r>
              <w:t xml:space="preserve">0.1</w:t>
            </w:r>
          </w:p>
        </w:tc>
      </w:tr>
      <w:tr>
        <w:tc>
          <w:tcPr/>
          <w:p>
            <w:pPr>
              <w:pStyle w:val="Compact"/>
            </w:pPr>
          </w:p>
        </w:tc>
        <w:tc>
          <w:tcPr/>
          <w:p>
            <w:pPr>
              <w:pStyle w:val="Compact"/>
              <w:jc w:val="center"/>
            </w:pPr>
            <w:r>
              <w:t xml:space="preserve">20+</w:t>
            </w:r>
          </w:p>
        </w:tc>
        <w:tc>
          <w:tcPr/>
          <w:p>
            <w:pPr>
              <w:pStyle w:val="Compact"/>
              <w:jc w:val="center"/>
            </w:pPr>
            <w:r>
              <w:t xml:space="preserve">0</w:t>
            </w:r>
          </w:p>
        </w:tc>
      </w:tr>
    </w:tbl>
    <w:p>
      <w:pPr>
        <w:pStyle w:val="BodyText"/>
      </w:pPr>
      <w:r>
        <w:t xml:space="preserve">In contrast to earlier models, the new HSI model delineates mean daily temperature preferences with greater accuracy. While previous models often employed broader temperature categories, the current model introduces finer distinctions. For instance, the new model identifies a specific range (12 to 16 degrees Celsius) where alewives exhibit peak suitability, providing a more accurate depiction of their thermal requirements for successful spawning. Moreover, the model highlights an upper mean daily temperature limit (27 degrees Celsius) where suitability drastically decreases, emphasizing the importance of maintaining suitable thermal conditions in spawning habitats.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Average Depth: Spawning Adult Alewives</w:t>
      </w:r>
    </w:p>
    <w:tbl>
      <w:tblPr>
        <w:tblStyle w:val="Table"/>
        <w:tblW w:type="auto" w:w="0"/>
        <w:tblLook w:firstRow="1" w:lastRow="0" w:firstColumn="0" w:lastColumn="0" w:noHBand="0" w:noVBand="0" w:val="0020"/>
        <w:jc w:val="start"/>
        <w:tblCaption w:val="Suitability Indices for Average Depth: Spawning Adult Alewives"/>
      </w:tblPr>
      <w:tblGrid>
        <w:gridCol w:w="2640"/>
        <w:gridCol w:w="2640"/>
        <w:gridCol w:w="2640"/>
      </w:tblGrid>
      <w:tr>
        <w:trPr>
          <w:tblHeader w:val="true"/>
        </w:trPr>
        <w:tc>
          <w:tcPr/>
          <w:p>
            <w:pPr>
              <w:pStyle w:val="Compact"/>
            </w:pPr>
          </w:p>
        </w:tc>
        <w:tc>
          <w:tcPr/>
          <w:p>
            <w:pPr>
              <w:pStyle w:val="Compact"/>
              <w:jc w:val="center"/>
            </w:pPr>
            <w:r>
              <w:t xml:space="preserve">Depth Range (meters)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0-2</w:t>
            </w:r>
          </w:p>
        </w:tc>
        <w:tc>
          <w:tcPr/>
          <w:p>
            <w:pPr>
              <w:pStyle w:val="Compact"/>
              <w:jc w:val="center"/>
            </w:pPr>
            <w:r>
              <w:t xml:space="preserve">0</w:t>
            </w:r>
          </w:p>
        </w:tc>
      </w:tr>
      <w:tr>
        <w:tc>
          <w:tcPr/>
          <w:p>
            <w:pPr>
              <w:pStyle w:val="Compact"/>
            </w:pPr>
          </w:p>
        </w:tc>
        <w:tc>
          <w:tcPr/>
          <w:p>
            <w:pPr>
              <w:pStyle w:val="Compact"/>
              <w:jc w:val="center"/>
            </w:pPr>
            <w:r>
              <w:t xml:space="preserve">2-10</w:t>
            </w:r>
          </w:p>
        </w:tc>
        <w:tc>
          <w:tcPr/>
          <w:p>
            <w:pPr>
              <w:pStyle w:val="Compact"/>
              <w:jc w:val="center"/>
            </w:pPr>
            <w:r>
              <w:t xml:space="preserve">0.5</w:t>
            </w:r>
          </w:p>
        </w:tc>
      </w:tr>
      <w:tr>
        <w:tc>
          <w:tcPr/>
          <w:p>
            <w:pPr>
              <w:pStyle w:val="Compact"/>
            </w:pPr>
          </w:p>
        </w:tc>
        <w:tc>
          <w:tcPr/>
          <w:p>
            <w:pPr>
              <w:pStyle w:val="Compact"/>
              <w:jc w:val="center"/>
            </w:pPr>
            <w:r>
              <w:t xml:space="preserve">10-20</w:t>
            </w:r>
          </w:p>
        </w:tc>
        <w:tc>
          <w:tcPr/>
          <w:p>
            <w:pPr>
              <w:pStyle w:val="Compact"/>
              <w:jc w:val="center"/>
            </w:pPr>
            <w:r>
              <w:t xml:space="preserve">1</w:t>
            </w:r>
          </w:p>
        </w:tc>
      </w:tr>
      <w:tr>
        <w:tc>
          <w:tcPr/>
          <w:p>
            <w:pPr>
              <w:pStyle w:val="Compact"/>
            </w:pPr>
          </w:p>
        </w:tc>
        <w:tc>
          <w:tcPr/>
          <w:p>
            <w:pPr>
              <w:pStyle w:val="Compact"/>
              <w:jc w:val="center"/>
            </w:pPr>
            <w:r>
              <w:t xml:space="preserve">20-50</w:t>
            </w:r>
          </w:p>
        </w:tc>
        <w:tc>
          <w:tcPr/>
          <w:p>
            <w:pPr>
              <w:pStyle w:val="Compact"/>
              <w:jc w:val="center"/>
            </w:pPr>
            <w:r>
              <w:t xml:space="preserve">0.5</w:t>
            </w:r>
          </w:p>
        </w:tc>
      </w:tr>
      <w:tr>
        <w:tc>
          <w:tcPr/>
          <w:p>
            <w:pPr>
              <w:pStyle w:val="Compact"/>
            </w:pPr>
          </w:p>
        </w:tc>
        <w:tc>
          <w:tcPr/>
          <w:p>
            <w:pPr>
              <w:pStyle w:val="Compact"/>
              <w:jc w:val="center"/>
            </w:pPr>
            <w:r>
              <w:t xml:space="preserve">50-100</w:t>
            </w:r>
          </w:p>
        </w:tc>
        <w:tc>
          <w:tcPr/>
          <w:p>
            <w:pPr>
              <w:pStyle w:val="Compact"/>
              <w:jc w:val="center"/>
            </w:pPr>
            <w:r>
              <w:t xml:space="preserve">0.5</w:t>
            </w:r>
          </w:p>
        </w:tc>
      </w:tr>
      <w:tr>
        <w:tc>
          <w:tcPr/>
          <w:p>
            <w:pPr>
              <w:pStyle w:val="Compact"/>
            </w:pPr>
          </w:p>
        </w:tc>
        <w:tc>
          <w:tcPr/>
          <w:p>
            <w:pPr>
              <w:pStyle w:val="Compact"/>
              <w:jc w:val="center"/>
            </w:pPr>
            <w:r>
              <w:t xml:space="preserve">100+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0-MLT</w:t>
            </w:r>
          </w:p>
        </w:tc>
        <w:tc>
          <w:tcPr/>
          <w:p>
            <w:pPr>
              <w:pStyle w:val="Compact"/>
              <w:jc w:val="center"/>
            </w:pPr>
            <w:r>
              <w:t xml:space="preserve">0.5</w:t>
            </w:r>
          </w:p>
        </w:tc>
      </w:tr>
      <w:tr>
        <w:tc>
          <w:tcPr/>
          <w:p>
            <w:pPr>
              <w:pStyle w:val="Compact"/>
            </w:pPr>
          </w:p>
        </w:tc>
        <w:tc>
          <w:tcPr/>
          <w:p>
            <w:pPr>
              <w:pStyle w:val="Compact"/>
              <w:jc w:val="center"/>
            </w:pPr>
            <w:r>
              <w:t xml:space="preserve">MLT-3</w:t>
            </w:r>
          </w:p>
        </w:tc>
        <w:tc>
          <w:tcPr/>
          <w:p>
            <w:pPr>
              <w:pStyle w:val="Compact"/>
              <w:jc w:val="center"/>
            </w:pPr>
            <w:r>
              <w:t xml:space="preserve">1</w:t>
            </w:r>
          </w:p>
        </w:tc>
      </w:tr>
      <w:tr>
        <w:tc>
          <w:tcPr/>
          <w:p>
            <w:pPr>
              <w:pStyle w:val="Compact"/>
            </w:pPr>
          </w:p>
        </w:tc>
        <w:tc>
          <w:tcPr/>
          <w:p>
            <w:pPr>
              <w:pStyle w:val="Compact"/>
              <w:jc w:val="center"/>
            </w:pPr>
            <w:r>
              <w:t xml:space="preserve">3-10</w:t>
            </w:r>
          </w:p>
        </w:tc>
        <w:tc>
          <w:tcPr/>
          <w:p>
            <w:pPr>
              <w:pStyle w:val="Compact"/>
              <w:jc w:val="center"/>
            </w:pPr>
            <w:r>
              <w:t xml:space="preserve">1</w:t>
            </w:r>
          </w:p>
        </w:tc>
      </w:tr>
      <w:tr>
        <w:tc>
          <w:tcPr/>
          <w:p>
            <w:pPr>
              <w:pStyle w:val="Compact"/>
            </w:pPr>
          </w:p>
        </w:tc>
        <w:tc>
          <w:tcPr/>
          <w:p>
            <w:pPr>
              <w:pStyle w:val="Compact"/>
              <w:jc w:val="center"/>
            </w:pPr>
            <w:r>
              <w:t xml:space="preserve">10-20</w:t>
            </w:r>
          </w:p>
        </w:tc>
        <w:tc>
          <w:tcPr/>
          <w:p>
            <w:pPr>
              <w:pStyle w:val="Compact"/>
              <w:jc w:val="center"/>
            </w:pPr>
            <w:r>
              <w:t xml:space="preserve">0.1</w:t>
            </w:r>
          </w:p>
        </w:tc>
      </w:tr>
      <w:tr>
        <w:tc>
          <w:tcPr/>
          <w:p>
            <w:pPr>
              <w:pStyle w:val="Compact"/>
            </w:pPr>
          </w:p>
        </w:tc>
        <w:tc>
          <w:tcPr/>
          <w:p>
            <w:pPr>
              <w:pStyle w:val="Compact"/>
              <w:jc w:val="center"/>
            </w:pPr>
            <w:r>
              <w:t xml:space="preserve">20-50</w:t>
            </w:r>
          </w:p>
        </w:tc>
        <w:tc>
          <w:tcPr/>
          <w:p>
            <w:pPr>
              <w:pStyle w:val="Compact"/>
              <w:jc w:val="center"/>
            </w:pPr>
            <w:r>
              <w:t xml:space="preserve">0</w:t>
            </w:r>
          </w:p>
        </w:tc>
      </w:tr>
      <w:tr>
        <w:tc>
          <w:tcPr/>
          <w:p>
            <w:pPr>
              <w:pStyle w:val="Compact"/>
            </w:pPr>
          </w:p>
        </w:tc>
        <w:tc>
          <w:tcPr/>
          <w:p>
            <w:pPr>
              <w:pStyle w:val="Compact"/>
              <w:jc w:val="center"/>
            </w:pPr>
            <w:r>
              <w:t xml:space="preserve">50-100</w:t>
            </w:r>
          </w:p>
        </w:tc>
        <w:tc>
          <w:tcPr/>
          <w:p>
            <w:pPr>
              <w:pStyle w:val="Compact"/>
              <w:jc w:val="center"/>
            </w:pPr>
            <w:r>
              <w:t xml:space="preserve">0</w:t>
            </w:r>
          </w:p>
        </w:tc>
      </w:tr>
    </w:tbl>
    <w:p>
      <w:pPr>
        <w:pStyle w:val="BodyText"/>
      </w:pPr>
      <w:r>
        <w:t xml:space="preserve">The updated model also offers more detailed depth preferences. Previous models might have employed generalized depth categories, but the new model introduces distinct depth ranges. This allows for a more refined assessment of habitat suitability. For instance, the new model specifies a peak suitability range (2 to 10 meters), reflecting the depth preferences of spawning adult alewives more accurately. Additionally, it identifies a depth threshold (100 meters) beyond which habitats are unsuitable for spawning.</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Average Salinity: Spawning Adult Alewives</w:t>
      </w:r>
    </w:p>
    <w:tbl>
      <w:tblPr>
        <w:tblStyle w:val="Table"/>
        <w:tblW w:type="auto" w:w="0"/>
        <w:tblLook w:firstRow="1" w:lastRow="0" w:firstColumn="0" w:lastColumn="0" w:noHBand="0" w:noVBand="0" w:val="0020"/>
        <w:jc w:val="start"/>
        <w:tblCaption w:val="Suitability Indices for Average Salinity: Spawning Adult Alewives"/>
      </w:tblPr>
      <w:tblGrid>
        <w:gridCol w:w="2640"/>
        <w:gridCol w:w="2640"/>
        <w:gridCol w:w="2640"/>
      </w:tblGrid>
      <w:tr>
        <w:trPr>
          <w:tblHeader w:val="true"/>
        </w:trPr>
        <w:tc>
          <w:tcPr/>
          <w:p>
            <w:pPr>
              <w:pStyle w:val="Compact"/>
            </w:pPr>
          </w:p>
        </w:tc>
        <w:tc>
          <w:tcPr/>
          <w:p>
            <w:pPr>
              <w:pStyle w:val="Compact"/>
              <w:jc w:val="center"/>
            </w:pPr>
            <w:r>
              <w:t xml:space="preserve">Salinity Range (psu)</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0-0.5</w:t>
            </w:r>
          </w:p>
        </w:tc>
        <w:tc>
          <w:tcPr/>
          <w:p>
            <w:pPr>
              <w:pStyle w:val="Compact"/>
              <w:jc w:val="center"/>
            </w:pPr>
            <w:r>
              <w:t xml:space="preserve">1</w:t>
            </w:r>
          </w:p>
        </w:tc>
      </w:tr>
      <w:tr>
        <w:tc>
          <w:tcPr/>
          <w:p>
            <w:pPr>
              <w:pStyle w:val="Compact"/>
            </w:pPr>
          </w:p>
        </w:tc>
        <w:tc>
          <w:tcPr/>
          <w:p>
            <w:pPr>
              <w:pStyle w:val="Compact"/>
              <w:jc w:val="center"/>
            </w:pPr>
            <w:r>
              <w:t xml:space="preserve">0.5-5</w:t>
            </w:r>
          </w:p>
        </w:tc>
        <w:tc>
          <w:tcPr/>
          <w:p>
            <w:pPr>
              <w:pStyle w:val="Compact"/>
              <w:jc w:val="center"/>
            </w:pPr>
            <w:r>
              <w:t xml:space="preserve">1</w:t>
            </w:r>
          </w:p>
        </w:tc>
      </w:tr>
      <w:tr>
        <w:tc>
          <w:tcPr/>
          <w:p>
            <w:pPr>
              <w:pStyle w:val="Compact"/>
            </w:pPr>
          </w:p>
        </w:tc>
        <w:tc>
          <w:tcPr/>
          <w:p>
            <w:pPr>
              <w:pStyle w:val="Compact"/>
              <w:jc w:val="center"/>
            </w:pPr>
            <w:r>
              <w:t xml:space="preserve">5-15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0.5</w:t>
            </w:r>
          </w:p>
        </w:tc>
      </w:tr>
      <w:tr>
        <w:tc>
          <w:tcPr/>
          <w:p>
            <w:pPr>
              <w:pStyle w:val="Compact"/>
            </w:pPr>
          </w:p>
        </w:tc>
        <w:tc>
          <w:tcPr/>
          <w:p>
            <w:pPr>
              <w:pStyle w:val="Compact"/>
              <w:jc w:val="center"/>
            </w:pPr>
            <w:r>
              <w:t xml:space="preserve">20+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0-6</w:t>
            </w:r>
          </w:p>
        </w:tc>
        <w:tc>
          <w:tcPr/>
          <w:p>
            <w:pPr>
              <w:pStyle w:val="Compact"/>
              <w:jc w:val="center"/>
            </w:pPr>
            <w:r>
              <w:t xml:space="preserve">0.86</w:t>
            </w:r>
          </w:p>
        </w:tc>
      </w:tr>
      <w:tr>
        <w:tc>
          <w:tcPr/>
          <w:p>
            <w:pPr>
              <w:pStyle w:val="Compact"/>
            </w:pPr>
          </w:p>
        </w:tc>
        <w:tc>
          <w:tcPr/>
          <w:p>
            <w:pPr>
              <w:pStyle w:val="Compact"/>
              <w:jc w:val="center"/>
            </w:pPr>
            <w:r>
              <w:t xml:space="preserve">6-14</w:t>
            </w:r>
          </w:p>
        </w:tc>
        <w:tc>
          <w:tcPr/>
          <w:p>
            <w:pPr>
              <w:pStyle w:val="Compact"/>
              <w:jc w:val="center"/>
            </w:pPr>
            <w:r>
              <w:t xml:space="preserve">0</w:t>
            </w:r>
          </w:p>
        </w:tc>
      </w:tr>
      <w:tr>
        <w:tc>
          <w:tcPr/>
          <w:p>
            <w:pPr>
              <w:pStyle w:val="Compact"/>
            </w:pPr>
          </w:p>
        </w:tc>
        <w:tc>
          <w:tcPr/>
          <w:p>
            <w:pPr>
              <w:pStyle w:val="Compact"/>
              <w:jc w:val="center"/>
            </w:pPr>
            <w:r>
              <w:t xml:space="preserve">14-20</w:t>
            </w:r>
          </w:p>
        </w:tc>
        <w:tc>
          <w:tcPr/>
          <w:p>
            <w:pPr>
              <w:pStyle w:val="Compact"/>
              <w:jc w:val="center"/>
            </w:pPr>
            <w:r>
              <w:t xml:space="preserve">0</w:t>
            </w:r>
          </w:p>
        </w:tc>
      </w:tr>
      <w:tr>
        <w:tc>
          <w:tcPr/>
          <w:p>
            <w:pPr>
              <w:pStyle w:val="Compact"/>
            </w:pPr>
          </w:p>
        </w:tc>
        <w:tc>
          <w:tcPr/>
          <w:p>
            <w:pPr>
              <w:pStyle w:val="Compact"/>
              <w:jc w:val="center"/>
            </w:pPr>
            <w:r>
              <w:t xml:space="preserve">20+</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0-0.5</w:t>
            </w:r>
          </w:p>
        </w:tc>
        <w:tc>
          <w:tcPr/>
          <w:p>
            <w:pPr>
              <w:pStyle w:val="Compact"/>
              <w:jc w:val="center"/>
            </w:pPr>
            <w:r>
              <w:t xml:space="preserve">1</w:t>
            </w:r>
          </w:p>
        </w:tc>
      </w:tr>
      <w:tr>
        <w:tc>
          <w:tcPr/>
          <w:p>
            <w:pPr>
              <w:pStyle w:val="Compact"/>
            </w:pPr>
          </w:p>
        </w:tc>
        <w:tc>
          <w:tcPr/>
          <w:p>
            <w:pPr>
              <w:pStyle w:val="Compact"/>
              <w:jc w:val="center"/>
            </w:pPr>
            <w:r>
              <w:t xml:space="preserve">0.5-5</w:t>
            </w:r>
          </w:p>
        </w:tc>
        <w:tc>
          <w:tcPr/>
          <w:p>
            <w:pPr>
              <w:pStyle w:val="Compact"/>
              <w:jc w:val="center"/>
            </w:pPr>
            <w:r>
              <w:t xml:space="preserve">1</w:t>
            </w:r>
          </w:p>
        </w:tc>
      </w:tr>
      <w:tr>
        <w:tc>
          <w:tcPr/>
          <w:p>
            <w:pPr>
              <w:pStyle w:val="Compact"/>
            </w:pPr>
          </w:p>
        </w:tc>
        <w:tc>
          <w:tcPr/>
          <w:p>
            <w:pPr>
              <w:pStyle w:val="Compact"/>
              <w:jc w:val="center"/>
            </w:pPr>
            <w:r>
              <w:t xml:space="preserve">5-10</w:t>
            </w:r>
          </w:p>
        </w:tc>
        <w:tc>
          <w:tcPr/>
          <w:p>
            <w:pPr>
              <w:pStyle w:val="Compact"/>
              <w:jc w:val="center"/>
            </w:pPr>
            <w:r>
              <w:t xml:space="preserve">1</w:t>
            </w:r>
          </w:p>
        </w:tc>
      </w:tr>
      <w:tr>
        <w:tc>
          <w:tcPr/>
          <w:p>
            <w:pPr>
              <w:pStyle w:val="Compact"/>
            </w:pPr>
          </w:p>
        </w:tc>
        <w:tc>
          <w:tcPr/>
          <w:p>
            <w:pPr>
              <w:pStyle w:val="Compact"/>
              <w:jc w:val="center"/>
            </w:pPr>
            <w:r>
              <w:t xml:space="preserve">10-15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0.5</w:t>
            </w:r>
          </w:p>
        </w:tc>
      </w:tr>
      <w:tr>
        <w:tc>
          <w:tcPr/>
          <w:p>
            <w:pPr>
              <w:pStyle w:val="Compact"/>
            </w:pPr>
          </w:p>
        </w:tc>
        <w:tc>
          <w:tcPr/>
          <w:p>
            <w:pPr>
              <w:pStyle w:val="Compact"/>
              <w:jc w:val="center"/>
            </w:pPr>
            <w:r>
              <w:t xml:space="preserve">20-25</w:t>
            </w:r>
          </w:p>
        </w:tc>
        <w:tc>
          <w:tcPr/>
          <w:p>
            <w:pPr>
              <w:pStyle w:val="Compact"/>
              <w:jc w:val="center"/>
            </w:pPr>
            <w:r>
              <w:t xml:space="preserve">0.1</w:t>
            </w:r>
          </w:p>
        </w:tc>
      </w:tr>
      <w:tr>
        <w:tc>
          <w:tcPr/>
          <w:p>
            <w:pPr>
              <w:pStyle w:val="Compact"/>
            </w:pPr>
          </w:p>
        </w:tc>
        <w:tc>
          <w:tcPr/>
          <w:p>
            <w:pPr>
              <w:pStyle w:val="Compact"/>
              <w:jc w:val="center"/>
            </w:pPr>
            <w:r>
              <w:t xml:space="preserve">25-30</w:t>
            </w:r>
          </w:p>
        </w:tc>
        <w:tc>
          <w:tcPr/>
          <w:p>
            <w:pPr>
              <w:pStyle w:val="Compact"/>
              <w:jc w:val="center"/>
            </w:pPr>
            <w:r>
              <w:t xml:space="preserve">0</w:t>
            </w:r>
          </w:p>
        </w:tc>
      </w:tr>
    </w:tbl>
    <w:p>
      <w:pPr>
        <w:pStyle w:val="BodyText"/>
      </w:pPr>
      <w:r>
        <w:t xml:space="preserve">The new HSI model also refines the depiction of alewife salinity preferences. Unlike earlier models, which may have had narrow salinity categories, the updated model provides a more nuanced view. It pinpoints a specific range (0 to 5 psu) where alewives exhibit the highest suitability, aligning closely with empirical data. Moreover, it designates a clear upper limit (15 psu) where suitability declines significantly, indicating the importance of maintaining lower salinity levels in suitable habitats.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Flow Velocity: Spawning Adult Alewives</w:t>
      </w:r>
    </w:p>
    <w:tbl>
      <w:tblPr>
        <w:tblStyle w:val="Table"/>
        <w:tblW w:type="auto" w:w="0"/>
        <w:tblLook w:firstRow="1" w:lastRow="0" w:firstColumn="0" w:lastColumn="0" w:noHBand="0" w:noVBand="0" w:val="0020"/>
        <w:jc w:val="start"/>
        <w:tblCaption w:val="Suitability Indices for Flow Velocity: Spawning Adult Alewives"/>
      </w:tblPr>
      <w:tblGrid>
        <w:gridCol w:w="2640"/>
        <w:gridCol w:w="2640"/>
        <w:gridCol w:w="2640"/>
      </w:tblGrid>
      <w:tr>
        <w:trPr>
          <w:tblHeader w:val="true"/>
        </w:trPr>
        <w:tc>
          <w:tcPr/>
          <w:p>
            <w:pPr>
              <w:pStyle w:val="Compact"/>
            </w:pPr>
          </w:p>
        </w:tc>
        <w:tc>
          <w:tcPr/>
          <w:p>
            <w:pPr>
              <w:pStyle w:val="Compact"/>
              <w:jc w:val="center"/>
            </w:pPr>
            <w:r>
              <w:t xml:space="preserve">Flow Velocity Range (m/s)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0-0.3</w:t>
            </w:r>
          </w:p>
        </w:tc>
        <w:tc>
          <w:tcPr/>
          <w:p>
            <w:pPr>
              <w:pStyle w:val="Compact"/>
              <w:jc w:val="center"/>
            </w:pPr>
            <w:r>
              <w:t xml:space="preserve">1</w:t>
            </w:r>
          </w:p>
        </w:tc>
      </w:tr>
      <w:tr>
        <w:tc>
          <w:tcPr/>
          <w:p>
            <w:pPr>
              <w:pStyle w:val="Compact"/>
            </w:pPr>
          </w:p>
        </w:tc>
        <w:tc>
          <w:tcPr/>
          <w:p>
            <w:pPr>
              <w:pStyle w:val="Compact"/>
              <w:jc w:val="center"/>
            </w:pPr>
            <w:r>
              <w:t xml:space="preserve">0.3-1.5</w:t>
            </w:r>
          </w:p>
        </w:tc>
        <w:tc>
          <w:tcPr/>
          <w:p>
            <w:pPr>
              <w:pStyle w:val="Compact"/>
              <w:jc w:val="center"/>
            </w:pPr>
            <w:r>
              <w:t xml:space="preserve">1</w:t>
            </w:r>
          </w:p>
        </w:tc>
      </w:tr>
      <w:tr>
        <w:tc>
          <w:tcPr/>
          <w:p>
            <w:pPr>
              <w:pStyle w:val="Compact"/>
            </w:pPr>
          </w:p>
        </w:tc>
        <w:tc>
          <w:tcPr/>
          <w:p>
            <w:pPr>
              <w:pStyle w:val="Compact"/>
              <w:jc w:val="center"/>
            </w:pPr>
            <w:r>
              <w:t xml:space="preserve">1.5-3.5</w:t>
            </w:r>
          </w:p>
        </w:tc>
        <w:tc>
          <w:tcPr/>
          <w:p>
            <w:pPr>
              <w:pStyle w:val="Compact"/>
              <w:jc w:val="center"/>
            </w:pPr>
            <w:r>
              <w:t xml:space="preserve">0.5</w:t>
            </w:r>
          </w:p>
        </w:tc>
      </w:tr>
      <w:tr>
        <w:tc>
          <w:tcPr/>
          <w:p>
            <w:pPr>
              <w:pStyle w:val="Compact"/>
            </w:pPr>
          </w:p>
        </w:tc>
        <w:tc>
          <w:tcPr/>
          <w:p>
            <w:pPr>
              <w:pStyle w:val="Compact"/>
              <w:jc w:val="center"/>
            </w:pPr>
            <w:r>
              <w:t xml:space="preserve">3.5-4.5</w:t>
            </w:r>
          </w:p>
        </w:tc>
        <w:tc>
          <w:tcPr/>
          <w:p>
            <w:pPr>
              <w:pStyle w:val="Compact"/>
              <w:jc w:val="center"/>
            </w:pPr>
            <w:r>
              <w:t xml:space="preserve">0.3</w:t>
            </w:r>
          </w:p>
        </w:tc>
      </w:tr>
      <w:tr>
        <w:tc>
          <w:tcPr/>
          <w:p>
            <w:pPr>
              <w:pStyle w:val="Compact"/>
            </w:pPr>
          </w:p>
        </w:tc>
        <w:tc>
          <w:tcPr/>
          <w:p>
            <w:pPr>
              <w:pStyle w:val="Compact"/>
              <w:jc w:val="center"/>
            </w:pPr>
            <w:r>
              <w:t xml:space="preserve">4.5+</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The new model enhances our understanding of alewife flow velocity preferences. While previous models might have used less specific flow velocity categories, the updated model introduces distinct ranges. For example, it highlights a range (0 to 0.3 meters per second) where alewives demonstrate the highest suitability and extends moderate suitability to a broader range (0.3 to 1.5 meters per second), offering a more defined view of their flow velocity requirements. Additionally, it designates an upper threshold (4.5 meters per second) beyond which habitat would be considered unsuitable, in line with observed behaviors.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Predominant Substrate Type: Spawning Adult Alewives</w:t>
      </w:r>
    </w:p>
    <w:tbl>
      <w:tblPr>
        <w:tblStyle w:val="Table"/>
        <w:tblW w:type="auto" w:w="0"/>
        <w:tblLook w:firstRow="1" w:lastRow="0" w:firstColumn="0" w:lastColumn="0" w:noHBand="0" w:noVBand="0" w:val="0020"/>
        <w:jc w:val="start"/>
        <w:tblCaption w:val="Suitability Indices for Predominant Substrate Type: Spawning Adult Alewives"/>
      </w:tblPr>
      <w:tblGrid>
        <w:gridCol w:w="2640"/>
        <w:gridCol w:w="2640"/>
        <w:gridCol w:w="2640"/>
      </w:tblGrid>
      <w:tr>
        <w:trPr>
          <w:tblHeader w:val="true"/>
        </w:trPr>
        <w:tc>
          <w:tcPr/>
          <w:p>
            <w:pPr>
              <w:pStyle w:val="Compact"/>
            </w:pPr>
          </w:p>
        </w:tc>
        <w:tc>
          <w:tcPr/>
          <w:p>
            <w:pPr>
              <w:pStyle w:val="Compact"/>
              <w:jc w:val="center"/>
            </w:pPr>
            <w:r>
              <w:t xml:space="preserve">Predominant Substrate Type</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soft substrate</w:t>
            </w:r>
          </w:p>
        </w:tc>
        <w:tc>
          <w:tcPr/>
          <w:p>
            <w:pPr>
              <w:pStyle w:val="Compact"/>
              <w:jc w:val="center"/>
            </w:pPr>
            <w:r>
              <w:t xml:space="preserve">1</w:t>
            </w:r>
          </w:p>
        </w:tc>
      </w:tr>
      <w:tr>
        <w:tc>
          <w:tcPr/>
          <w:p>
            <w:pPr>
              <w:pStyle w:val="Compact"/>
            </w:pPr>
          </w:p>
        </w:tc>
        <w:tc>
          <w:tcPr/>
          <w:p>
            <w:pPr>
              <w:pStyle w:val="Compact"/>
              <w:jc w:val="center"/>
            </w:pPr>
            <w:r>
              <w:t xml:space="preserve">hard substrate</w:t>
            </w:r>
          </w:p>
        </w:tc>
        <w:tc>
          <w:tcPr/>
          <w:p>
            <w:pPr>
              <w:pStyle w:val="Compact"/>
              <w:jc w:val="center"/>
            </w:pPr>
            <w:r>
              <w:t xml:space="preserve">0.5</w:t>
            </w:r>
          </w:p>
        </w:tc>
      </w:tr>
      <w:tr>
        <w:tc>
          <w:tcPr/>
          <w:p>
            <w:pPr>
              <w:pStyle w:val="Compact"/>
            </w:pPr>
          </w:p>
        </w:tc>
        <w:tc>
          <w:tcPr/>
          <w:p>
            <w:pPr>
              <w:pStyle w:val="Compact"/>
              <w:jc w:val="center"/>
            </w:pPr>
            <w:r>
              <w:t xml:space="preserve">present SAV</w:t>
            </w:r>
          </w:p>
        </w:tc>
        <w:tc>
          <w:tcPr/>
          <w:p>
            <w:pPr>
              <w:pStyle w:val="Compact"/>
              <w:jc w:val="center"/>
            </w:pPr>
            <w:r>
              <w:t xml:space="preserve">1</w:t>
            </w:r>
          </w:p>
        </w:tc>
      </w:tr>
      <w:tr>
        <w:tc>
          <w:tcPr/>
          <w:p>
            <w:pPr>
              <w:pStyle w:val="Compact"/>
            </w:pPr>
          </w:p>
        </w:tc>
        <w:tc>
          <w:tcPr/>
          <w:p>
            <w:pPr>
              <w:pStyle w:val="Compact"/>
              <w:jc w:val="center"/>
            </w:pPr>
            <w:r>
              <w:t xml:space="preserve">absent SAV</w:t>
            </w:r>
          </w:p>
        </w:tc>
        <w:tc>
          <w:tcPr/>
          <w:p>
            <w:pPr>
              <w:pStyle w:val="Compact"/>
              <w:jc w:val="center"/>
            </w:pPr>
            <w:r>
              <w:t xml:space="preserve">0.5</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Substrate preferences remain a crucial aspect of spawning habitat for alewives. Previous models have employed general substrate categories, while the new model emphasizes the significance of diverse substrate types, including soft (e.g. small gravel, sand, silt, detritus) and hard substrates (e.g. cobble, rock, boulders, clam beds), as well as sub-aquatic vegetation (i.e. absence/presence).</w:t>
      </w:r>
    </w:p>
    <w:bookmarkEnd w:id="27"/>
    <w:bookmarkStart w:id="31" w:name="juvenile-alewives"/>
    <w:p>
      <w:pPr>
        <w:pStyle w:val="Heading3"/>
      </w:pPr>
      <w:r>
        <w:t xml:space="preserve">Juvenile Alewives</w:t>
      </w:r>
    </w:p>
    <w:p>
      <w:pPr>
        <w:pStyle w:val="FirstParagraph"/>
      </w:pPr>
      <w:r>
        <w:t xml:space="preserve">To shed light on their habitat preferences and support effective conservation and management strategies, an in-depth Habitat Suitability Index (HSI) model has been established. This model meticulously dissects key parameters, including temperature, depth, salinity, flow velocity, and substrate, providing precise insights into the conditions necessary for their well-being.</w:t>
      </w:r>
    </w:p>
    <w:p>
      <w:pPr>
        <w:pStyle w:val="CaptionedFigure"/>
      </w:pPr>
      <w:r>
        <w:drawing>
          <wp:inline>
            <wp:extent cx="4267200" cy="1896533"/>
            <wp:effectExtent b="0" l="0" r="0" t="0"/>
            <wp:docPr descr="Non-Migratory Juvenile Alewife and Larvae Temperature Suitability Indices" title="" id="29" name="Picture"/>
            <a:graphic>
              <a:graphicData uri="http://schemas.openxmlformats.org/drawingml/2006/picture">
                <pic:pic>
                  <pic:nvPicPr>
                    <pic:cNvPr descr="Fig02.Juv_Alewife_Temp_HSI.jpeg" id="30" name="Picture"/>
                    <pic:cNvPicPr>
                      <a:picLocks noChangeArrowheads="1" noChangeAspect="1"/>
                    </pic:cNvPicPr>
                  </pic:nvPicPr>
                  <pic:blipFill>
                    <a:blip r:embed="rId28"/>
                    <a:stretch>
                      <a:fillRect/>
                    </a:stretch>
                  </pic:blipFill>
                  <pic:spPr bwMode="auto">
                    <a:xfrm>
                      <a:off x="0" y="0"/>
                      <a:ext cx="4267200" cy="1896533"/>
                    </a:xfrm>
                    <a:prstGeom prst="rect">
                      <a:avLst/>
                    </a:prstGeom>
                    <a:noFill/>
                    <a:ln w="9525">
                      <a:noFill/>
                      <a:headEnd/>
                      <a:tailEnd/>
                    </a:ln>
                  </pic:spPr>
                </pic:pic>
              </a:graphicData>
            </a:graphic>
          </wp:inline>
        </w:drawing>
      </w:r>
    </w:p>
    <w:p>
      <w:pPr>
        <w:pStyle w:val="ImageCaption"/>
      </w:pPr>
      <w:r>
        <w:t xml:space="preserve">Non-Migratory Juvenile Alewife and Larvae Temperature Suitability Indices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Mean Daily Water Temperature: Non-Migratory Juvenile Alewife and Larvae</w:t>
      </w:r>
    </w:p>
    <w:tbl>
      <w:tblPr>
        <w:tblStyle w:val="Table"/>
        <w:tblW w:type="auto" w:w="0"/>
        <w:tblLook w:firstRow="1" w:lastRow="0" w:firstColumn="0" w:lastColumn="0" w:noHBand="0" w:noVBand="0" w:val="0020"/>
        <w:jc w:val="start"/>
        <w:tblCaption w:val="Suitability Indices for Mean Daily Water Temperature: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Temperature Range (C)</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3-11</w:t>
            </w:r>
          </w:p>
        </w:tc>
        <w:tc>
          <w:tcPr/>
          <w:p>
            <w:pPr>
              <w:pStyle w:val="Compact"/>
              <w:jc w:val="center"/>
            </w:pPr>
            <w:r>
              <w:t xml:space="preserve">0</w:t>
            </w:r>
          </w:p>
        </w:tc>
      </w:tr>
      <w:tr>
        <w:tc>
          <w:tcPr/>
          <w:p>
            <w:pPr>
              <w:pStyle w:val="Compact"/>
            </w:pPr>
          </w:p>
        </w:tc>
        <w:tc>
          <w:tcPr/>
          <w:p>
            <w:pPr>
              <w:pStyle w:val="Compact"/>
              <w:jc w:val="center"/>
            </w:pPr>
            <w:r>
              <w:t xml:space="preserve">11-17</w:t>
            </w:r>
          </w:p>
        </w:tc>
        <w:tc>
          <w:tcPr/>
          <w:p>
            <w:pPr>
              <w:pStyle w:val="Compact"/>
              <w:jc w:val="center"/>
            </w:pPr>
            <w:r>
              <w:t xml:space="preserve">0.5</w:t>
            </w:r>
          </w:p>
        </w:tc>
      </w:tr>
      <w:tr>
        <w:tc>
          <w:tcPr/>
          <w:p>
            <w:pPr>
              <w:pStyle w:val="Compact"/>
            </w:pPr>
          </w:p>
        </w:tc>
        <w:tc>
          <w:tcPr/>
          <w:p>
            <w:pPr>
              <w:pStyle w:val="Compact"/>
              <w:jc w:val="center"/>
            </w:pPr>
            <w:r>
              <w:t xml:space="preserve">17-22</w:t>
            </w:r>
          </w:p>
        </w:tc>
        <w:tc>
          <w:tcPr/>
          <w:p>
            <w:pPr>
              <w:pStyle w:val="Compact"/>
              <w:jc w:val="center"/>
            </w:pPr>
            <w:r>
              <w:t xml:space="preserve">1</w:t>
            </w:r>
          </w:p>
        </w:tc>
      </w:tr>
      <w:tr>
        <w:tc>
          <w:tcPr/>
          <w:p>
            <w:pPr>
              <w:pStyle w:val="Compact"/>
            </w:pPr>
          </w:p>
        </w:tc>
        <w:tc>
          <w:tcPr/>
          <w:p>
            <w:pPr>
              <w:pStyle w:val="Compact"/>
              <w:jc w:val="center"/>
            </w:pPr>
            <w:r>
              <w:t xml:space="preserve">22-28</w:t>
            </w:r>
          </w:p>
        </w:tc>
        <w:tc>
          <w:tcPr/>
          <w:p>
            <w:pPr>
              <w:pStyle w:val="Compact"/>
              <w:jc w:val="center"/>
            </w:pPr>
            <w:r>
              <w:t xml:space="preserve">1</w:t>
            </w:r>
          </w:p>
        </w:tc>
      </w:tr>
      <w:tr>
        <w:tc>
          <w:tcPr/>
          <w:p>
            <w:pPr>
              <w:pStyle w:val="Compact"/>
            </w:pPr>
          </w:p>
        </w:tc>
        <w:tc>
          <w:tcPr/>
          <w:p>
            <w:pPr>
              <w:pStyle w:val="Compact"/>
              <w:jc w:val="center"/>
            </w:pPr>
            <w:r>
              <w:t xml:space="preserve">28-29.7</w:t>
            </w:r>
          </w:p>
        </w:tc>
        <w:tc>
          <w:tcPr/>
          <w:p>
            <w:pPr>
              <w:pStyle w:val="Compact"/>
              <w:jc w:val="center"/>
            </w:pPr>
            <w:r>
              <w:t xml:space="preserve">0.3</w:t>
            </w:r>
          </w:p>
        </w:tc>
      </w:tr>
      <w:tr>
        <w:tc>
          <w:tcPr/>
          <w:p>
            <w:pPr>
              <w:pStyle w:val="Compact"/>
            </w:pPr>
          </w:p>
        </w:tc>
        <w:tc>
          <w:tcPr/>
          <w:p>
            <w:pPr>
              <w:pStyle w:val="Compact"/>
              <w:jc w:val="center"/>
            </w:pPr>
            <w:r>
              <w:t xml:space="preserve">29.7+</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0-10</w:t>
            </w:r>
          </w:p>
        </w:tc>
        <w:tc>
          <w:tcPr/>
          <w:p>
            <w:pPr>
              <w:pStyle w:val="Compact"/>
              <w:jc w:val="center"/>
            </w:pPr>
            <w:r>
              <w:t xml:space="preserve">0.5</w:t>
            </w:r>
          </w:p>
        </w:tc>
      </w:tr>
      <w:tr>
        <w:tc>
          <w:tcPr/>
          <w:p>
            <w:pPr>
              <w:pStyle w:val="Compact"/>
            </w:pPr>
          </w:p>
        </w:tc>
        <w:tc>
          <w:tcPr/>
          <w:p>
            <w:pPr>
              <w:pStyle w:val="Compact"/>
              <w:jc w:val="center"/>
            </w:pPr>
            <w:r>
              <w:t xml:space="preserve">10-18</w:t>
            </w:r>
          </w:p>
        </w:tc>
        <w:tc>
          <w:tcPr/>
          <w:p>
            <w:pPr>
              <w:pStyle w:val="Compact"/>
              <w:jc w:val="center"/>
            </w:pPr>
            <w:r>
              <w:t xml:space="preserve">1</w:t>
            </w:r>
          </w:p>
        </w:tc>
      </w:tr>
      <w:tr>
        <w:tc>
          <w:tcPr/>
          <w:p>
            <w:pPr>
              <w:pStyle w:val="Compact"/>
            </w:pPr>
          </w:p>
        </w:tc>
        <w:tc>
          <w:tcPr/>
          <w:p>
            <w:pPr>
              <w:pStyle w:val="Compact"/>
              <w:jc w:val="center"/>
            </w:pPr>
            <w:r>
              <w:t xml:space="preserve">18-30</w:t>
            </w:r>
          </w:p>
        </w:tc>
        <w:tc>
          <w:tcPr/>
          <w:p>
            <w:pPr>
              <w:pStyle w:val="Compact"/>
              <w:jc w:val="center"/>
            </w:pPr>
            <w:r>
              <w:t xml:space="preserve">0.5</w:t>
            </w:r>
          </w:p>
        </w:tc>
      </w:tr>
      <w:tr>
        <w:tc>
          <w:tcPr/>
          <w:p>
            <w:pPr>
              <w:pStyle w:val="Compact"/>
            </w:pPr>
          </w:p>
        </w:tc>
        <w:tc>
          <w:tcPr/>
          <w:p>
            <w:pPr>
              <w:pStyle w:val="Compact"/>
              <w:jc w:val="center"/>
            </w:pPr>
            <w:r>
              <w:t xml:space="preserve">30+</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0-6</w:t>
            </w:r>
          </w:p>
        </w:tc>
        <w:tc>
          <w:tcPr/>
          <w:p>
            <w:pPr>
              <w:pStyle w:val="Compact"/>
              <w:jc w:val="center"/>
            </w:pPr>
            <w:r>
              <w:t xml:space="preserve">0</w:t>
            </w:r>
          </w:p>
        </w:tc>
      </w:tr>
      <w:tr>
        <w:tc>
          <w:tcPr/>
          <w:p>
            <w:pPr>
              <w:pStyle w:val="Compact"/>
            </w:pPr>
          </w:p>
        </w:tc>
        <w:tc>
          <w:tcPr/>
          <w:p>
            <w:pPr>
              <w:pStyle w:val="Compact"/>
              <w:jc w:val="center"/>
            </w:pPr>
            <w:r>
              <w:t xml:space="preserve">6-10</w:t>
            </w:r>
          </w:p>
        </w:tc>
        <w:tc>
          <w:tcPr/>
          <w:p>
            <w:pPr>
              <w:pStyle w:val="Compact"/>
              <w:jc w:val="center"/>
            </w:pPr>
            <w:r>
              <w:t xml:space="preserve">0.1</w:t>
            </w:r>
          </w:p>
        </w:tc>
      </w:tr>
      <w:tr>
        <w:tc>
          <w:tcPr/>
          <w:p>
            <w:pPr>
              <w:pStyle w:val="Compact"/>
            </w:pPr>
          </w:p>
        </w:tc>
        <w:tc>
          <w:tcPr/>
          <w:p>
            <w:pPr>
              <w:pStyle w:val="Compact"/>
              <w:jc w:val="center"/>
            </w:pPr>
            <w:r>
              <w:t xml:space="preserve">10-12</w:t>
            </w:r>
          </w:p>
        </w:tc>
        <w:tc>
          <w:tcPr/>
          <w:p>
            <w:pPr>
              <w:pStyle w:val="Compact"/>
              <w:jc w:val="center"/>
            </w:pPr>
            <w:r>
              <w:t xml:space="preserve">0.5</w:t>
            </w:r>
          </w:p>
        </w:tc>
      </w:tr>
      <w:tr>
        <w:tc>
          <w:tcPr/>
          <w:p>
            <w:pPr>
              <w:pStyle w:val="Compact"/>
            </w:pPr>
          </w:p>
        </w:tc>
        <w:tc>
          <w:tcPr/>
          <w:p>
            <w:pPr>
              <w:pStyle w:val="Compact"/>
              <w:jc w:val="center"/>
            </w:pPr>
            <w:r>
              <w:t xml:space="preserve">12-22</w:t>
            </w:r>
          </w:p>
        </w:tc>
        <w:tc>
          <w:tcPr/>
          <w:p>
            <w:pPr>
              <w:pStyle w:val="Compact"/>
              <w:jc w:val="center"/>
            </w:pPr>
            <w:r>
              <w:t xml:space="preserve">1</w:t>
            </w:r>
          </w:p>
        </w:tc>
      </w:tr>
      <w:tr>
        <w:tc>
          <w:tcPr/>
          <w:p>
            <w:pPr>
              <w:pStyle w:val="Compact"/>
            </w:pPr>
          </w:p>
        </w:tc>
        <w:tc>
          <w:tcPr/>
          <w:p>
            <w:pPr>
              <w:pStyle w:val="Compact"/>
              <w:jc w:val="center"/>
            </w:pPr>
            <w:r>
              <w:t xml:space="preserve">22-24</w:t>
            </w:r>
          </w:p>
        </w:tc>
        <w:tc>
          <w:tcPr/>
          <w:p>
            <w:pPr>
              <w:pStyle w:val="Compact"/>
              <w:jc w:val="center"/>
            </w:pPr>
            <w:r>
              <w:t xml:space="preserve">0.5</w:t>
            </w:r>
          </w:p>
        </w:tc>
      </w:tr>
      <w:tr>
        <w:tc>
          <w:tcPr/>
          <w:p>
            <w:pPr>
              <w:pStyle w:val="Compact"/>
            </w:pPr>
          </w:p>
        </w:tc>
        <w:tc>
          <w:tcPr/>
          <w:p>
            <w:pPr>
              <w:pStyle w:val="Compact"/>
              <w:jc w:val="center"/>
            </w:pPr>
            <w:r>
              <w:t xml:space="preserve">24-30</w:t>
            </w:r>
          </w:p>
        </w:tc>
        <w:tc>
          <w:tcPr/>
          <w:p>
            <w:pPr>
              <w:pStyle w:val="Compact"/>
              <w:jc w:val="center"/>
            </w:pPr>
            <w:r>
              <w:t xml:space="preserve">0.1</w:t>
            </w:r>
          </w:p>
        </w:tc>
      </w:tr>
      <w:tr>
        <w:tc>
          <w:tcPr/>
          <w:p>
            <w:pPr>
              <w:pStyle w:val="Compact"/>
            </w:pPr>
          </w:p>
        </w:tc>
        <w:tc>
          <w:tcPr/>
          <w:p>
            <w:pPr>
              <w:pStyle w:val="Compact"/>
              <w:jc w:val="center"/>
            </w:pPr>
            <w:r>
              <w:t xml:space="preserve">30+</w:t>
            </w:r>
          </w:p>
        </w:tc>
        <w:tc>
          <w:tcPr/>
          <w:p>
            <w:pPr>
              <w:pStyle w:val="Compact"/>
              <w:jc w:val="center"/>
            </w:pPr>
            <w:r>
              <w:t xml:space="preserve">0</w:t>
            </w:r>
          </w:p>
        </w:tc>
      </w:tr>
    </w:tbl>
    <w:p>
      <w:pPr>
        <w:pStyle w:val="BodyText"/>
      </w:pPr>
      <w:r>
        <w:t xml:space="preserve">The temperature parameter in the HSI model for non-migratory juvenile alewife and larvae delineates mean daily temperature preferences with greater accuracy. It highlights a suitability range between 3 and 11 degrees Celsius, indicating their ability to thrive and over-winter in cooler waters. Optimal conditions are observed within the 17 to 22 degrees Celsius range, aligning closely with the temperature regimes of their native habitats. The model’s upper limit at 29.7 degrees Celsius defines the critical importance of understanding suitable thermal conditions to support the growth and survival of juvenile alewives and larvae.</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Average Depth: Non-Migratory Juvenile Alewife and Larvae</w:t>
      </w:r>
    </w:p>
    <w:tbl>
      <w:tblPr>
        <w:tblStyle w:val="Table"/>
        <w:tblW w:type="auto" w:w="0"/>
        <w:tblLook w:firstRow="1" w:lastRow="0" w:firstColumn="0" w:lastColumn="0" w:noHBand="0" w:noVBand="0" w:val="0020"/>
        <w:jc w:val="start"/>
        <w:tblCaption w:val="Suitability Indices for Average Depth: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Depth Range (meters)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0-0.5</w:t>
            </w:r>
          </w:p>
        </w:tc>
        <w:tc>
          <w:tcPr/>
          <w:p>
            <w:pPr>
              <w:pStyle w:val="Compact"/>
              <w:jc w:val="center"/>
            </w:pPr>
            <w:r>
              <w:t xml:space="preserve">0</w:t>
            </w:r>
          </w:p>
        </w:tc>
      </w:tr>
      <w:tr>
        <w:tc>
          <w:tcPr/>
          <w:p>
            <w:pPr>
              <w:pStyle w:val="Compact"/>
            </w:pPr>
          </w:p>
        </w:tc>
        <w:tc>
          <w:tcPr/>
          <w:p>
            <w:pPr>
              <w:pStyle w:val="Compact"/>
              <w:jc w:val="center"/>
            </w:pPr>
            <w:r>
              <w:t xml:space="preserve">0.5-3</w:t>
            </w:r>
          </w:p>
        </w:tc>
        <w:tc>
          <w:tcPr/>
          <w:p>
            <w:pPr>
              <w:pStyle w:val="Compact"/>
              <w:jc w:val="center"/>
            </w:pPr>
            <w:r>
              <w:t xml:space="preserve">1</w:t>
            </w:r>
          </w:p>
        </w:tc>
      </w:tr>
      <w:tr>
        <w:tc>
          <w:tcPr/>
          <w:p>
            <w:pPr>
              <w:pStyle w:val="Compact"/>
            </w:pPr>
          </w:p>
        </w:tc>
        <w:tc>
          <w:tcPr/>
          <w:p>
            <w:pPr>
              <w:pStyle w:val="Compact"/>
              <w:jc w:val="center"/>
            </w:pPr>
            <w:r>
              <w:t xml:space="preserve">3-5</w:t>
            </w:r>
          </w:p>
        </w:tc>
        <w:tc>
          <w:tcPr/>
          <w:p>
            <w:pPr>
              <w:pStyle w:val="Compact"/>
              <w:jc w:val="center"/>
            </w:pPr>
            <w:r>
              <w:t xml:space="preserve">1</w:t>
            </w:r>
          </w:p>
        </w:tc>
      </w:tr>
      <w:tr>
        <w:tc>
          <w:tcPr/>
          <w:p>
            <w:pPr>
              <w:pStyle w:val="Compact"/>
            </w:pPr>
          </w:p>
        </w:tc>
        <w:tc>
          <w:tcPr/>
          <w:p>
            <w:pPr>
              <w:pStyle w:val="Compact"/>
              <w:jc w:val="center"/>
            </w:pPr>
            <w:r>
              <w:t xml:space="preserve">3-10</w:t>
            </w:r>
          </w:p>
        </w:tc>
        <w:tc>
          <w:tcPr/>
          <w:p>
            <w:pPr>
              <w:pStyle w:val="Compact"/>
              <w:jc w:val="center"/>
            </w:pPr>
            <w:r>
              <w:t xml:space="preserve">1</w:t>
            </w:r>
          </w:p>
        </w:tc>
      </w:tr>
      <w:tr>
        <w:tc>
          <w:tcPr/>
          <w:p>
            <w:pPr>
              <w:pStyle w:val="Compact"/>
            </w:pPr>
          </w:p>
        </w:tc>
        <w:tc>
          <w:tcPr/>
          <w:p>
            <w:pPr>
              <w:pStyle w:val="Compact"/>
              <w:jc w:val="center"/>
            </w:pPr>
            <w:r>
              <w:t xml:space="preserve">10-20</w:t>
            </w:r>
          </w:p>
        </w:tc>
        <w:tc>
          <w:tcPr/>
          <w:p>
            <w:pPr>
              <w:pStyle w:val="Compact"/>
              <w:jc w:val="center"/>
            </w:pPr>
            <w:r>
              <w:t xml:space="preserve">0.5</w:t>
            </w:r>
          </w:p>
        </w:tc>
      </w:tr>
      <w:tr>
        <w:tc>
          <w:tcPr/>
          <w:p>
            <w:pPr>
              <w:pStyle w:val="Compact"/>
            </w:pPr>
          </w:p>
        </w:tc>
        <w:tc>
          <w:tcPr/>
          <w:p>
            <w:pPr>
              <w:pStyle w:val="Compact"/>
              <w:jc w:val="center"/>
            </w:pPr>
            <w:r>
              <w:t xml:space="preserve">20-50</w:t>
            </w:r>
          </w:p>
        </w:tc>
        <w:tc>
          <w:tcPr/>
          <w:p>
            <w:pPr>
              <w:pStyle w:val="Compact"/>
              <w:jc w:val="center"/>
            </w:pPr>
            <w:r>
              <w:t xml:space="preserve">0.1</w:t>
            </w:r>
          </w:p>
        </w:tc>
      </w:tr>
      <w:tr>
        <w:tc>
          <w:tcPr/>
          <w:p>
            <w:pPr>
              <w:pStyle w:val="Compact"/>
            </w:pPr>
          </w:p>
        </w:tc>
        <w:tc>
          <w:tcPr/>
          <w:p>
            <w:pPr>
              <w:pStyle w:val="Compact"/>
              <w:jc w:val="center"/>
            </w:pPr>
            <w:r>
              <w:t xml:space="preserve">50+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0-MLT</w:t>
            </w:r>
          </w:p>
        </w:tc>
        <w:tc>
          <w:tcPr/>
          <w:p>
            <w:pPr>
              <w:pStyle w:val="Compact"/>
              <w:jc w:val="center"/>
            </w:pPr>
            <w:r>
              <w:t xml:space="preserve">0.5</w:t>
            </w:r>
          </w:p>
        </w:tc>
      </w:tr>
      <w:tr>
        <w:tc>
          <w:tcPr/>
          <w:p>
            <w:pPr>
              <w:pStyle w:val="Compact"/>
            </w:pPr>
          </w:p>
        </w:tc>
        <w:tc>
          <w:tcPr/>
          <w:p>
            <w:pPr>
              <w:pStyle w:val="Compact"/>
              <w:jc w:val="center"/>
            </w:pPr>
            <w:r>
              <w:t xml:space="preserve">MLT-3</w:t>
            </w:r>
          </w:p>
        </w:tc>
        <w:tc>
          <w:tcPr/>
          <w:p>
            <w:pPr>
              <w:pStyle w:val="Compact"/>
              <w:jc w:val="center"/>
            </w:pPr>
            <w:r>
              <w:t xml:space="preserve">1</w:t>
            </w:r>
          </w:p>
        </w:tc>
      </w:tr>
      <w:tr>
        <w:tc>
          <w:tcPr/>
          <w:p>
            <w:pPr>
              <w:pStyle w:val="Compact"/>
            </w:pPr>
          </w:p>
        </w:tc>
        <w:tc>
          <w:tcPr/>
          <w:p>
            <w:pPr>
              <w:pStyle w:val="Compact"/>
              <w:jc w:val="center"/>
            </w:pPr>
            <w:r>
              <w:t xml:space="preserve">3-10</w:t>
            </w:r>
          </w:p>
        </w:tc>
        <w:tc>
          <w:tcPr/>
          <w:p>
            <w:pPr>
              <w:pStyle w:val="Compact"/>
              <w:jc w:val="center"/>
            </w:pPr>
            <w:r>
              <w:t xml:space="preserve">1</w:t>
            </w:r>
          </w:p>
        </w:tc>
      </w:tr>
      <w:tr>
        <w:tc>
          <w:tcPr/>
          <w:p>
            <w:pPr>
              <w:pStyle w:val="Compact"/>
            </w:pPr>
          </w:p>
        </w:tc>
        <w:tc>
          <w:tcPr/>
          <w:p>
            <w:pPr>
              <w:pStyle w:val="Compact"/>
              <w:jc w:val="center"/>
            </w:pPr>
            <w:r>
              <w:t xml:space="preserve">10-20</w:t>
            </w:r>
          </w:p>
        </w:tc>
        <w:tc>
          <w:tcPr/>
          <w:p>
            <w:pPr>
              <w:pStyle w:val="Compact"/>
              <w:jc w:val="center"/>
            </w:pPr>
            <w:r>
              <w:t xml:space="preserve">0.1</w:t>
            </w:r>
          </w:p>
        </w:tc>
      </w:tr>
      <w:tr>
        <w:tc>
          <w:tcPr/>
          <w:p>
            <w:pPr>
              <w:pStyle w:val="Compact"/>
            </w:pPr>
          </w:p>
        </w:tc>
        <w:tc>
          <w:tcPr/>
          <w:p>
            <w:pPr>
              <w:pStyle w:val="Compact"/>
              <w:jc w:val="center"/>
            </w:pPr>
            <w:r>
              <w:t xml:space="preserve">20-50</w:t>
            </w:r>
          </w:p>
        </w:tc>
        <w:tc>
          <w:tcPr/>
          <w:p>
            <w:pPr>
              <w:pStyle w:val="Compact"/>
              <w:jc w:val="center"/>
            </w:pPr>
            <w:r>
              <w:t xml:space="preserve">0</w:t>
            </w:r>
          </w:p>
        </w:tc>
      </w:tr>
      <w:tr>
        <w:tc>
          <w:tcPr/>
          <w:p>
            <w:pPr>
              <w:pStyle w:val="Compact"/>
            </w:pPr>
          </w:p>
        </w:tc>
        <w:tc>
          <w:tcPr/>
          <w:p>
            <w:pPr>
              <w:pStyle w:val="Compact"/>
              <w:jc w:val="center"/>
            </w:pPr>
            <w:r>
              <w:t xml:space="preserve">50-100</w:t>
            </w:r>
          </w:p>
        </w:tc>
        <w:tc>
          <w:tcPr/>
          <w:p>
            <w:pPr>
              <w:pStyle w:val="Compact"/>
              <w:jc w:val="center"/>
            </w:pPr>
            <w:r>
              <w:t xml:space="preserve">0</w:t>
            </w:r>
          </w:p>
        </w:tc>
      </w:tr>
    </w:tbl>
    <w:p>
      <w:pPr>
        <w:pStyle w:val="BodyText"/>
      </w:pPr>
      <w:r>
        <w:t xml:space="preserve">Depth preferences play a crucial role in the habitat suitability of non-migratory juvenile alewife and larvae. The updated model offers distinct depth ranges, allowing for a refined assessment of their habitat requirements. Peak suitability between 2 and 10 meters is highlighted, signifying the affinity by juvenile alewife and larvae for relatively shallow waters. This depth preference aligns with their ecological niche, where access to food resources and shelter is optimal. Furthermore, the model designates a depth threshold at 20 meters, emphasizing that habitats beyond this depth are unsuitable for these life stages.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Average Salinity: Non-Migratory Juvenile Alewife and Larvae</w:t>
      </w:r>
    </w:p>
    <w:tbl>
      <w:tblPr>
        <w:tblStyle w:val="Table"/>
        <w:tblW w:type="auto" w:w="0"/>
        <w:tblLook w:firstRow="1" w:lastRow="0" w:firstColumn="0" w:lastColumn="0" w:noHBand="0" w:noVBand="0" w:val="0020"/>
        <w:jc w:val="start"/>
        <w:tblCaption w:val="Suitability Indices for Average Salinity: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Salinity Range (psu)</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0-0.5</w:t>
            </w:r>
          </w:p>
        </w:tc>
        <w:tc>
          <w:tcPr/>
          <w:p>
            <w:pPr>
              <w:pStyle w:val="Compact"/>
              <w:jc w:val="center"/>
            </w:pPr>
            <w:r>
              <w:t xml:space="preserve">0.5</w:t>
            </w:r>
          </w:p>
        </w:tc>
      </w:tr>
      <w:tr>
        <w:tc>
          <w:tcPr/>
          <w:p>
            <w:pPr>
              <w:pStyle w:val="Compact"/>
            </w:pPr>
          </w:p>
        </w:tc>
        <w:tc>
          <w:tcPr/>
          <w:p>
            <w:pPr>
              <w:pStyle w:val="Compact"/>
              <w:jc w:val="center"/>
            </w:pPr>
            <w:r>
              <w:t xml:space="preserve">0.5-5</w:t>
            </w:r>
          </w:p>
        </w:tc>
        <w:tc>
          <w:tcPr/>
          <w:p>
            <w:pPr>
              <w:pStyle w:val="Compact"/>
              <w:jc w:val="center"/>
            </w:pPr>
            <w:r>
              <w:t xml:space="preserve">1</w:t>
            </w:r>
          </w:p>
        </w:tc>
      </w:tr>
      <w:tr>
        <w:tc>
          <w:tcPr/>
          <w:p>
            <w:pPr>
              <w:pStyle w:val="Compact"/>
            </w:pPr>
          </w:p>
        </w:tc>
        <w:tc>
          <w:tcPr/>
          <w:p>
            <w:pPr>
              <w:pStyle w:val="Compact"/>
              <w:jc w:val="center"/>
            </w:pPr>
            <w:r>
              <w:t xml:space="preserve">5-10</w:t>
            </w:r>
          </w:p>
        </w:tc>
        <w:tc>
          <w:tcPr/>
          <w:p>
            <w:pPr>
              <w:pStyle w:val="Compact"/>
              <w:jc w:val="center"/>
            </w:pPr>
            <w:r>
              <w:t xml:space="preserve">1</w:t>
            </w:r>
          </w:p>
        </w:tc>
      </w:tr>
      <w:tr>
        <w:tc>
          <w:tcPr/>
          <w:p>
            <w:pPr>
              <w:pStyle w:val="Compact"/>
            </w:pPr>
          </w:p>
        </w:tc>
        <w:tc>
          <w:tcPr/>
          <w:p>
            <w:pPr>
              <w:pStyle w:val="Compact"/>
              <w:jc w:val="center"/>
            </w:pPr>
            <w:r>
              <w:t xml:space="preserve">10-15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1</w:t>
            </w:r>
          </w:p>
        </w:tc>
      </w:tr>
      <w:tr>
        <w:tc>
          <w:tcPr/>
          <w:p>
            <w:pPr>
              <w:pStyle w:val="Compact"/>
            </w:pPr>
          </w:p>
        </w:tc>
        <w:tc>
          <w:tcPr/>
          <w:p>
            <w:pPr>
              <w:pStyle w:val="Compact"/>
              <w:jc w:val="center"/>
            </w:pPr>
            <w:r>
              <w:t xml:space="preserve">20-25</w:t>
            </w:r>
          </w:p>
        </w:tc>
        <w:tc>
          <w:tcPr/>
          <w:p>
            <w:pPr>
              <w:pStyle w:val="Compact"/>
              <w:jc w:val="center"/>
            </w:pPr>
            <w:r>
              <w:t xml:space="preserve">0.5</w:t>
            </w:r>
          </w:p>
        </w:tc>
      </w:tr>
      <w:tr>
        <w:tc>
          <w:tcPr/>
          <w:p>
            <w:pPr>
              <w:pStyle w:val="Compact"/>
            </w:pPr>
          </w:p>
        </w:tc>
        <w:tc>
          <w:tcPr/>
          <w:p>
            <w:pPr>
              <w:pStyle w:val="Compact"/>
              <w:jc w:val="center"/>
            </w:pPr>
            <w:r>
              <w:t xml:space="preserve">25-30</w:t>
            </w:r>
          </w:p>
        </w:tc>
        <w:tc>
          <w:tcPr/>
          <w:p>
            <w:pPr>
              <w:pStyle w:val="Compact"/>
              <w:jc w:val="center"/>
            </w:pPr>
            <w:r>
              <w:t xml:space="preserve">0.3</w:t>
            </w:r>
          </w:p>
        </w:tc>
      </w:tr>
      <w:tr>
        <w:tc>
          <w:tcPr/>
          <w:p>
            <w:pPr>
              <w:pStyle w:val="Compact"/>
            </w:pPr>
          </w:p>
        </w:tc>
        <w:tc>
          <w:tcPr/>
          <w:p>
            <w:pPr>
              <w:pStyle w:val="Compact"/>
              <w:jc w:val="center"/>
            </w:pPr>
            <w:r>
              <w:t xml:space="preserve">30-35</w:t>
            </w:r>
          </w:p>
        </w:tc>
        <w:tc>
          <w:tcPr/>
          <w:p>
            <w:pPr>
              <w:pStyle w:val="Compact"/>
              <w:jc w:val="center"/>
            </w:pPr>
            <w:r>
              <w:t xml:space="preserve">0.1</w:t>
            </w:r>
          </w:p>
        </w:tc>
      </w:tr>
      <w:tr>
        <w:tc>
          <w:tcPr/>
          <w:p>
            <w:pPr>
              <w:pStyle w:val="Compact"/>
            </w:pPr>
          </w:p>
        </w:tc>
        <w:tc>
          <w:tcPr/>
          <w:p>
            <w:pPr>
              <w:pStyle w:val="Compact"/>
              <w:jc w:val="center"/>
            </w:pPr>
            <w:r>
              <w:t xml:space="preserve">35+</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0-6</w:t>
            </w:r>
          </w:p>
        </w:tc>
        <w:tc>
          <w:tcPr/>
          <w:p>
            <w:pPr>
              <w:pStyle w:val="Compact"/>
              <w:jc w:val="center"/>
            </w:pPr>
            <w:r>
              <w:t xml:space="preserve">0.86</w:t>
            </w:r>
          </w:p>
        </w:tc>
      </w:tr>
      <w:tr>
        <w:tc>
          <w:tcPr/>
          <w:p>
            <w:pPr>
              <w:pStyle w:val="Compact"/>
            </w:pPr>
          </w:p>
        </w:tc>
        <w:tc>
          <w:tcPr/>
          <w:p>
            <w:pPr>
              <w:pStyle w:val="Compact"/>
              <w:jc w:val="center"/>
            </w:pPr>
            <w:r>
              <w:t xml:space="preserve">6-14</w:t>
            </w:r>
          </w:p>
        </w:tc>
        <w:tc>
          <w:tcPr/>
          <w:p>
            <w:pPr>
              <w:pStyle w:val="Compact"/>
              <w:jc w:val="center"/>
            </w:pPr>
            <w:r>
              <w:t xml:space="preserve">0</w:t>
            </w:r>
          </w:p>
        </w:tc>
      </w:tr>
      <w:tr>
        <w:tc>
          <w:tcPr/>
          <w:p>
            <w:pPr>
              <w:pStyle w:val="Compact"/>
            </w:pPr>
          </w:p>
        </w:tc>
        <w:tc>
          <w:tcPr/>
          <w:p>
            <w:pPr>
              <w:pStyle w:val="Compact"/>
              <w:jc w:val="center"/>
            </w:pPr>
            <w:r>
              <w:t xml:space="preserve">14-20</w:t>
            </w:r>
          </w:p>
        </w:tc>
        <w:tc>
          <w:tcPr/>
          <w:p>
            <w:pPr>
              <w:pStyle w:val="Compact"/>
              <w:jc w:val="center"/>
            </w:pPr>
            <w:r>
              <w:t xml:space="preserve">0</w:t>
            </w:r>
          </w:p>
        </w:tc>
      </w:tr>
      <w:tr>
        <w:tc>
          <w:tcPr/>
          <w:p>
            <w:pPr>
              <w:pStyle w:val="Compact"/>
            </w:pPr>
          </w:p>
        </w:tc>
        <w:tc>
          <w:tcPr/>
          <w:p>
            <w:pPr>
              <w:pStyle w:val="Compact"/>
              <w:jc w:val="center"/>
            </w:pPr>
            <w:r>
              <w:t xml:space="preserve">20+</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0-0.5</w:t>
            </w:r>
          </w:p>
        </w:tc>
        <w:tc>
          <w:tcPr/>
          <w:p>
            <w:pPr>
              <w:pStyle w:val="Compact"/>
              <w:jc w:val="center"/>
            </w:pPr>
            <w:r>
              <w:t xml:space="preserve">0.1</w:t>
            </w:r>
          </w:p>
        </w:tc>
      </w:tr>
      <w:tr>
        <w:tc>
          <w:tcPr/>
          <w:p>
            <w:pPr>
              <w:pStyle w:val="Compact"/>
            </w:pPr>
          </w:p>
        </w:tc>
        <w:tc>
          <w:tcPr/>
          <w:p>
            <w:pPr>
              <w:pStyle w:val="Compact"/>
              <w:jc w:val="center"/>
            </w:pPr>
            <w:r>
              <w:t xml:space="preserve">0.5-5</w:t>
            </w:r>
          </w:p>
        </w:tc>
        <w:tc>
          <w:tcPr/>
          <w:p>
            <w:pPr>
              <w:pStyle w:val="Compact"/>
              <w:jc w:val="center"/>
            </w:pPr>
            <w:r>
              <w:t xml:space="preserve">0.1</w:t>
            </w:r>
          </w:p>
        </w:tc>
      </w:tr>
      <w:tr>
        <w:tc>
          <w:tcPr/>
          <w:p>
            <w:pPr>
              <w:pStyle w:val="Compact"/>
            </w:pPr>
          </w:p>
        </w:tc>
        <w:tc>
          <w:tcPr/>
          <w:p>
            <w:pPr>
              <w:pStyle w:val="Compact"/>
              <w:jc w:val="center"/>
            </w:pPr>
            <w:r>
              <w:t xml:space="preserve">5-10</w:t>
            </w:r>
          </w:p>
        </w:tc>
        <w:tc>
          <w:tcPr/>
          <w:p>
            <w:pPr>
              <w:pStyle w:val="Compact"/>
              <w:jc w:val="center"/>
            </w:pPr>
            <w:r>
              <w:t xml:space="preserve">0.5</w:t>
            </w:r>
          </w:p>
        </w:tc>
      </w:tr>
      <w:tr>
        <w:tc>
          <w:tcPr/>
          <w:p>
            <w:pPr>
              <w:pStyle w:val="Compact"/>
            </w:pPr>
          </w:p>
        </w:tc>
        <w:tc>
          <w:tcPr/>
          <w:p>
            <w:pPr>
              <w:pStyle w:val="Compact"/>
              <w:jc w:val="center"/>
            </w:pPr>
            <w:r>
              <w:t xml:space="preserve">10-15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1</w:t>
            </w:r>
          </w:p>
        </w:tc>
      </w:tr>
      <w:tr>
        <w:tc>
          <w:tcPr/>
          <w:p>
            <w:pPr>
              <w:pStyle w:val="Compact"/>
            </w:pPr>
          </w:p>
        </w:tc>
        <w:tc>
          <w:tcPr/>
          <w:p>
            <w:pPr>
              <w:pStyle w:val="Compact"/>
              <w:jc w:val="center"/>
            </w:pPr>
            <w:r>
              <w:t xml:space="preserve">20-25</w:t>
            </w:r>
          </w:p>
        </w:tc>
        <w:tc>
          <w:tcPr/>
          <w:p>
            <w:pPr>
              <w:pStyle w:val="Compact"/>
              <w:jc w:val="center"/>
            </w:pPr>
            <w:r>
              <w:t xml:space="preserve">1</w:t>
            </w:r>
          </w:p>
        </w:tc>
      </w:tr>
      <w:tr>
        <w:tc>
          <w:tcPr/>
          <w:p>
            <w:pPr>
              <w:pStyle w:val="Compact"/>
            </w:pPr>
          </w:p>
        </w:tc>
        <w:tc>
          <w:tcPr/>
          <w:p>
            <w:pPr>
              <w:pStyle w:val="Compact"/>
              <w:jc w:val="center"/>
            </w:pPr>
            <w:r>
              <w:t xml:space="preserve">25-30</w:t>
            </w:r>
          </w:p>
        </w:tc>
        <w:tc>
          <w:tcPr/>
          <w:p>
            <w:pPr>
              <w:pStyle w:val="Compact"/>
              <w:jc w:val="center"/>
            </w:pPr>
            <w:r>
              <w:t xml:space="preserve">1</w:t>
            </w:r>
          </w:p>
        </w:tc>
      </w:tr>
    </w:tbl>
    <w:p>
      <w:pPr>
        <w:pStyle w:val="BodyText"/>
      </w:pPr>
      <w:r>
        <w:t xml:space="preserve">Salinity is a vital factor in the habitat suitability of non-migratory juvenile alewife and larvae, and the HSI model provides detailed insights. It highlights a specific range of 0.5 to 15 (psu) where these life stages exhibit the highest suitability. This preference closely corresponds to their native estuarine and freshwater habitats. Additionally, the model sets a clear upper limit at 30 psu, emphasizing the moderate effects of higher salinity levels on their suitability. Maintaining brackish conditions in suitable habitats is essential for the successful development of juvenile alewives and larvae.</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Flow Velocity: Non-Migratory Juvenile Alewife and Larvae</w:t>
      </w:r>
    </w:p>
    <w:tbl>
      <w:tblPr>
        <w:tblStyle w:val="Table"/>
        <w:tblW w:type="auto" w:w="0"/>
        <w:tblLook w:firstRow="1" w:lastRow="0" w:firstColumn="0" w:lastColumn="0" w:noHBand="0" w:noVBand="0" w:val="0020"/>
        <w:jc w:val="start"/>
        <w:tblCaption w:val="Suitability Indices for Flow Velocity: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Flow Velocity Range (m/s)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0-0.05</w:t>
            </w:r>
          </w:p>
        </w:tc>
        <w:tc>
          <w:tcPr/>
          <w:p>
            <w:pPr>
              <w:pStyle w:val="Compact"/>
              <w:jc w:val="center"/>
            </w:pPr>
            <w:r>
              <w:t xml:space="preserve">0.5</w:t>
            </w:r>
          </w:p>
        </w:tc>
      </w:tr>
      <w:tr>
        <w:tc>
          <w:tcPr/>
          <w:p>
            <w:pPr>
              <w:pStyle w:val="Compact"/>
            </w:pPr>
          </w:p>
        </w:tc>
        <w:tc>
          <w:tcPr/>
          <w:p>
            <w:pPr>
              <w:pStyle w:val="Compact"/>
              <w:jc w:val="center"/>
            </w:pPr>
            <w:r>
              <w:t xml:space="preserve">0.05-0.12</w:t>
            </w:r>
          </w:p>
        </w:tc>
        <w:tc>
          <w:tcPr/>
          <w:p>
            <w:pPr>
              <w:pStyle w:val="Compact"/>
              <w:jc w:val="center"/>
            </w:pPr>
            <w:r>
              <w:t xml:space="preserve">1</w:t>
            </w:r>
          </w:p>
        </w:tc>
      </w:tr>
      <w:tr>
        <w:tc>
          <w:tcPr/>
          <w:p>
            <w:pPr>
              <w:pStyle w:val="Compact"/>
            </w:pPr>
          </w:p>
        </w:tc>
        <w:tc>
          <w:tcPr/>
          <w:p>
            <w:pPr>
              <w:pStyle w:val="Compact"/>
              <w:jc w:val="center"/>
            </w:pPr>
            <w:r>
              <w:t xml:space="preserve">0.12-0.17</w:t>
            </w:r>
          </w:p>
        </w:tc>
        <w:tc>
          <w:tcPr/>
          <w:p>
            <w:pPr>
              <w:pStyle w:val="Compact"/>
              <w:jc w:val="center"/>
            </w:pPr>
            <w:r>
              <w:t xml:space="preserve">1</w:t>
            </w:r>
          </w:p>
        </w:tc>
      </w:tr>
      <w:tr>
        <w:tc>
          <w:tcPr/>
          <w:p>
            <w:pPr>
              <w:pStyle w:val="Compact"/>
            </w:pPr>
          </w:p>
        </w:tc>
        <w:tc>
          <w:tcPr/>
          <w:p>
            <w:pPr>
              <w:pStyle w:val="Compact"/>
              <w:jc w:val="center"/>
            </w:pPr>
            <w:r>
              <w:t xml:space="preserve">0.17-0.3</w:t>
            </w:r>
          </w:p>
        </w:tc>
        <w:tc>
          <w:tcPr/>
          <w:p>
            <w:pPr>
              <w:pStyle w:val="Compact"/>
              <w:jc w:val="center"/>
            </w:pPr>
            <w:r>
              <w:t xml:space="preserve">0.7</w:t>
            </w:r>
          </w:p>
        </w:tc>
      </w:tr>
      <w:tr>
        <w:tc>
          <w:tcPr/>
          <w:p>
            <w:pPr>
              <w:pStyle w:val="Compact"/>
            </w:pPr>
          </w:p>
        </w:tc>
        <w:tc>
          <w:tcPr/>
          <w:p>
            <w:pPr>
              <w:pStyle w:val="Compact"/>
              <w:jc w:val="center"/>
            </w:pPr>
            <w:r>
              <w:t xml:space="preserve">0.3-0.5</w:t>
            </w:r>
          </w:p>
        </w:tc>
        <w:tc>
          <w:tcPr/>
          <w:p>
            <w:pPr>
              <w:pStyle w:val="Compact"/>
              <w:jc w:val="center"/>
            </w:pPr>
            <w:r>
              <w:t xml:space="preserve">0.5</w:t>
            </w:r>
          </w:p>
        </w:tc>
      </w:tr>
      <w:tr>
        <w:tc>
          <w:tcPr/>
          <w:p>
            <w:pPr>
              <w:pStyle w:val="Compact"/>
            </w:pPr>
          </w:p>
        </w:tc>
        <w:tc>
          <w:tcPr/>
          <w:p>
            <w:pPr>
              <w:pStyle w:val="Compact"/>
              <w:jc w:val="center"/>
            </w:pPr>
            <w:r>
              <w:t xml:space="preserve">0.5-1.0</w:t>
            </w:r>
          </w:p>
        </w:tc>
        <w:tc>
          <w:tcPr/>
          <w:p>
            <w:pPr>
              <w:pStyle w:val="Compact"/>
              <w:jc w:val="center"/>
            </w:pPr>
            <w:r>
              <w:t xml:space="preserve">0.3</w:t>
            </w:r>
          </w:p>
        </w:tc>
      </w:tr>
      <w:tr>
        <w:tc>
          <w:tcPr/>
          <w:p>
            <w:pPr>
              <w:pStyle w:val="Compact"/>
            </w:pPr>
          </w:p>
        </w:tc>
        <w:tc>
          <w:tcPr/>
          <w:p>
            <w:pPr>
              <w:pStyle w:val="Compact"/>
              <w:jc w:val="center"/>
            </w:pPr>
            <w:r>
              <w:t xml:space="preserve">1.0-1.5</w:t>
            </w:r>
          </w:p>
        </w:tc>
        <w:tc>
          <w:tcPr/>
          <w:p>
            <w:pPr>
              <w:pStyle w:val="Compact"/>
              <w:jc w:val="center"/>
            </w:pPr>
            <w:r>
              <w:t xml:space="preserve">0.1</w:t>
            </w:r>
          </w:p>
        </w:tc>
      </w:tr>
      <w:tr>
        <w:tc>
          <w:tcPr/>
          <w:p>
            <w:pPr>
              <w:pStyle w:val="Compact"/>
            </w:pPr>
          </w:p>
        </w:tc>
        <w:tc>
          <w:tcPr/>
          <w:p>
            <w:pPr>
              <w:pStyle w:val="Compact"/>
              <w:jc w:val="center"/>
            </w:pPr>
            <w:r>
              <w:t xml:space="preserve">1.5+</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The new model defines Flow velocity preferences, which are essential for the habitat suitability of non-migratory juvenile alewife and larvae, and the HSI model provides specific velocity ranges. It designates a suitability range between 0.05 and 0.12 meters per second, highlighting their preference for relatively calm waters. Moderate suitability extends to a broader range of 0.0 to 0.3 meters per second, reflecting their adaptability to slightly faster currents. Beyond 1.5 meters per second, the model sets an upper threshold, indicating that habitats with higher flow velocities would be considered unsuitable. Understanding these flow velocity preferences is crucial for conserving habitats that support these life stages.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Suitability Indices for Predominant Substrate Type: Non-Migratory Juvenile Alewife and Larvae</w:t>
      </w:r>
    </w:p>
    <w:tbl>
      <w:tblPr>
        <w:tblStyle w:val="Table"/>
        <w:tblW w:type="auto" w:w="0"/>
        <w:tblLook w:firstRow="1" w:lastRow="0" w:firstColumn="0" w:lastColumn="0" w:noHBand="0" w:noVBand="0" w:val="0020"/>
        <w:jc w:val="start"/>
        <w:tblCaption w:val="Suitability Indices for Predominant Substrate Type: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Predominant Substrate Type</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soft substrate</w:t>
            </w:r>
          </w:p>
        </w:tc>
        <w:tc>
          <w:tcPr/>
          <w:p>
            <w:pPr>
              <w:pStyle w:val="Compact"/>
              <w:jc w:val="center"/>
            </w:pPr>
            <w:r>
              <w:t xml:space="preserve">0.5</w:t>
            </w:r>
          </w:p>
        </w:tc>
      </w:tr>
      <w:tr>
        <w:tc>
          <w:tcPr/>
          <w:p>
            <w:pPr>
              <w:pStyle w:val="Compact"/>
            </w:pPr>
          </w:p>
        </w:tc>
        <w:tc>
          <w:tcPr/>
          <w:p>
            <w:pPr>
              <w:pStyle w:val="Compact"/>
              <w:jc w:val="center"/>
            </w:pPr>
            <w:r>
              <w:t xml:space="preserve">hard substrate</w:t>
            </w:r>
          </w:p>
        </w:tc>
        <w:tc>
          <w:tcPr/>
          <w:p>
            <w:pPr>
              <w:pStyle w:val="Compact"/>
              <w:jc w:val="center"/>
            </w:pPr>
            <w:r>
              <w:t xml:space="preserve">1</w:t>
            </w:r>
          </w:p>
        </w:tc>
      </w:tr>
      <w:tr>
        <w:tc>
          <w:tcPr/>
          <w:p>
            <w:pPr>
              <w:pStyle w:val="Compact"/>
            </w:pPr>
          </w:p>
        </w:tc>
        <w:tc>
          <w:tcPr/>
          <w:p>
            <w:pPr>
              <w:pStyle w:val="Compact"/>
              <w:jc w:val="center"/>
            </w:pPr>
            <w:r>
              <w:t xml:space="preserve">present SAV</w:t>
            </w:r>
          </w:p>
        </w:tc>
        <w:tc>
          <w:tcPr/>
          <w:p>
            <w:pPr>
              <w:pStyle w:val="Compact"/>
              <w:jc w:val="center"/>
            </w:pPr>
            <w:r>
              <w:t xml:space="preserve">1</w:t>
            </w:r>
          </w:p>
        </w:tc>
      </w:tr>
      <w:tr>
        <w:tc>
          <w:tcPr/>
          <w:p>
            <w:pPr>
              <w:pStyle w:val="Compact"/>
            </w:pPr>
          </w:p>
        </w:tc>
        <w:tc>
          <w:tcPr/>
          <w:p>
            <w:pPr>
              <w:pStyle w:val="Compact"/>
              <w:jc w:val="center"/>
            </w:pPr>
            <w:r>
              <w:t xml:space="preserve">absent SAV</w:t>
            </w:r>
          </w:p>
        </w:tc>
        <w:tc>
          <w:tcPr/>
          <w:p>
            <w:pPr>
              <w:pStyle w:val="Compact"/>
              <w:jc w:val="center"/>
            </w:pPr>
            <w:r>
              <w:t xml:space="preserve">0.5</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The updated model also distinguishes between soft and hard substrate types, recognizing their significance. Soft substrates are associated with moderate suitability, while hard substrates are considered highly suitable. Additionally, the model acknowledges the presence or absence of sub-aquatic vegetation (SAV) as a parameter, recognizing the ecological importance of vegetation in these habitats. This comprehensive approach to substrate preferences ensures that a variety of habitat types is considered when managing and conserving suitable environments for non-migratory juvenile alewife and larvae.</w:t>
      </w:r>
    </w:p>
    <w:bookmarkEnd w:id="31"/>
    <w:bookmarkStart w:id="32" w:name="figures-tables"/>
    <w:p>
      <w:pPr>
        <w:pStyle w:val="Heading3"/>
      </w:pPr>
      <w:r>
        <w:t xml:space="preserve">Figures &amp; Tables</w:t>
      </w:r>
    </w:p>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Habitat Suitability Indices for Spawning Adult Alewives</w:t>
      </w:r>
    </w:p>
    <w:tbl>
      <w:tblPr>
        <w:tblStyle w:val="Table"/>
        <w:tblW w:type="pct" w:w="5000"/>
        <w:tblLook w:firstRow="1" w:lastRow="0" w:firstColumn="0" w:lastColumn="0" w:noHBand="0" w:noVBand="0" w:val="0020"/>
        <w:jc w:val="start"/>
        <w:tblCaption w:val="Habitat Suitability Indices for Spawning Adult Alewives"/>
      </w:tblPr>
      <w:tblGrid>
        <w:gridCol w:w="1280"/>
        <w:gridCol w:w="800"/>
        <w:gridCol w:w="1200"/>
        <w:gridCol w:w="1840"/>
        <w:gridCol w:w="400"/>
        <w:gridCol w:w="2400"/>
      </w:tblGrid>
      <w:tr>
        <w:trPr>
          <w:tblHeader w:val="true"/>
        </w:trPr>
        <w:tc>
          <w:tcPr/>
          <w:p>
            <w:pPr>
              <w:pStyle w:val="Compact"/>
            </w:pPr>
          </w:p>
        </w:tc>
        <w:tc>
          <w:tcPr/>
          <w:p>
            <w:pPr>
              <w:pStyle w:val="Compact"/>
              <w:jc w:val="center"/>
            </w:pPr>
            <w:r>
              <w:t xml:space="preserve">Variable</w:t>
            </w:r>
          </w:p>
        </w:tc>
        <w:tc>
          <w:tcPr/>
          <w:p>
            <w:pPr>
              <w:pStyle w:val="Compact"/>
              <w:jc w:val="center"/>
            </w:pPr>
            <w:r>
              <w:t xml:space="preserve">Parameter</w:t>
            </w:r>
          </w:p>
        </w:tc>
        <w:tc>
          <w:tcPr/>
          <w:p>
            <w:pPr>
              <w:pStyle w:val="Compact"/>
              <w:jc w:val="center"/>
            </w:pPr>
            <w:r>
              <w:t xml:space="preserve">Range</w:t>
            </w:r>
          </w:p>
        </w:tc>
        <w:tc>
          <w:tcPr/>
          <w:p>
            <w:pPr>
              <w:pStyle w:val="Compact"/>
              <w:jc w:val="center"/>
            </w:pPr>
            <w:r>
              <w:t xml:space="preserve">HSI</w:t>
            </w:r>
          </w:p>
        </w:tc>
        <w:tc>
          <w:tcPr/>
          <w:p>
            <w:pPr>
              <w:pStyle w:val="Compact"/>
              <w:jc w:val="center"/>
            </w:pPr>
            <w:r>
              <w:t xml:space="preserve">Formulas</w:t>
            </w:r>
          </w:p>
        </w:tc>
      </w:tr>
      <w:tr>
        <w:tc>
          <w:tcPr/>
          <w:p>
            <w:pPr>
              <w:pStyle w:val="Compact"/>
              <w:jc w:val="left"/>
            </w:pPr>
            <w:r>
              <w:t xml:space="preserve">Spawning Adults</w:t>
            </w:r>
          </w:p>
        </w:tc>
        <w:tc>
          <w:tcPr/>
          <w:p>
            <w:pPr>
              <w:pStyle w:val="Compact"/>
              <w:jc w:val="center"/>
            </w:pPr>
            <w:r>
              <w:t xml:space="preserve">A</w:t>
            </w:r>
          </w:p>
        </w:tc>
        <w:tc>
          <w:tcPr/>
          <w:p>
            <w:pPr>
              <w:pStyle w:val="Compact"/>
              <w:jc w:val="center"/>
            </w:pPr>
            <w:r>
              <w:t xml:space="preserve">Temperature</w:t>
            </w:r>
          </w:p>
        </w:tc>
        <w:tc>
          <w:tcPr/>
          <w:p>
            <w:pPr>
              <w:pStyle w:val="Compact"/>
              <w:jc w:val="center"/>
            </w:pPr>
            <m:oMathPara>
              <m:oMathParaPr>
                <m:jc m:val="center"/>
              </m:oMathParaPr>
              <m:oMath>
                <m:r>
                  <m:t>t</m:t>
                </m:r>
                <m:r>
                  <m:t>e</m:t>
                </m:r>
                <m:r>
                  <m:t>m</m:t>
                </m:r>
                <m:sSub>
                  <m:e>
                    <m:r>
                      <m:t>p</m:t>
                    </m:r>
                  </m:e>
                  <m:sub>
                    <m:r>
                      <m:t>C</m:t>
                    </m:r>
                  </m:sub>
                </m:sSub>
                <m:r>
                  <m:rPr>
                    <m:sty m:val="p"/>
                  </m:rPr>
                  <m:t>=</m:t>
                </m:r>
                <m:r>
                  <m:t>0</m:t>
                </m:r>
                <m:r>
                  <m:rPr>
                    <m:sty m:val="p"/>
                  </m:rPr>
                  <m:t>−</m:t>
                </m:r>
                <m:r>
                  <m:t>8</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0.0625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8</m:t>
                </m:r>
                <m:r>
                  <m:rPr>
                    <m:sty m:val="p"/>
                  </m:rPr>
                  <m:t>−</m:t>
                </m:r>
                <m:r>
                  <m:t>12</m:t>
                </m:r>
              </m:oMath>
            </m:oMathPara>
          </w:p>
        </w:tc>
        <w:tc>
          <w:tcPr/>
          <w:p>
            <w:pPr>
              <w:pStyle w:val="Compact"/>
              <w:jc w:val="center"/>
            </w:pPr>
            <w:r>
              <w:t xml:space="preserve">0.5</w:t>
            </w:r>
          </w:p>
        </w:tc>
        <w:tc>
          <w:tcPr/>
          <w:p>
            <w:pPr>
              <w:pStyle w:val="Compact"/>
              <w:jc w:val="center"/>
            </w:pPr>
            <m:oMathPara>
              <m:oMathParaPr>
                <m:jc m:val="center"/>
              </m:oMathParaPr>
              <m:oMath>
                <m:r>
                  <m:rPr>
                    <m:sty m:val="p"/>
                  </m:rPr>
                  <m:t>−</m:t>
                </m:r>
                <m:r>
                  <m:t>0.5</m:t>
                </m:r>
                <m:r>
                  <m:rPr>
                    <m:sty m:val="p"/>
                  </m:rPr>
                  <m:t>+</m:t>
                </m:r>
                <m:d>
                  <m:dPr>
                    <m:begChr m:val="("/>
                    <m:endChr m:val=")"/>
                    <m:sepChr m:val=""/>
                    <m:grow/>
                  </m:dPr>
                  <m:e>
                    <m:r>
                      <m:t>0.125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12</m:t>
                </m:r>
                <m:r>
                  <m:rPr>
                    <m:sty m:val="p"/>
                  </m:rPr>
                  <m:t>−</m:t>
                </m:r>
                <m:r>
                  <m:t>16</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16</m:t>
                </m:r>
                <m:r>
                  <m:rPr>
                    <m:sty m:val="p"/>
                  </m:rPr>
                  <m:t>−</m:t>
                </m:r>
                <m:r>
                  <m:t>22</m:t>
                </m:r>
              </m:oMath>
            </m:oMathPara>
          </w:p>
        </w:tc>
        <w:tc>
          <w:tcPr/>
          <w:p>
            <w:pPr>
              <w:pStyle w:val="Compact"/>
              <w:jc w:val="center"/>
            </w:pPr>
            <w:r>
              <w:t xml:space="preserve">1</w:t>
            </w:r>
          </w:p>
        </w:tc>
        <w:tc>
          <w:tcPr/>
          <w:p>
            <w:pPr>
              <w:pStyle w:val="Compact"/>
              <w:jc w:val="center"/>
            </w:pPr>
            <m:oMathPara>
              <m:oMathParaPr>
                <m:jc m:val="center"/>
              </m:oMathParaPr>
              <m:oMath>
                <m:r>
                  <m:t>2.33</m:t>
                </m:r>
                <m:r>
                  <m:rPr>
                    <m:sty m:val="p"/>
                  </m:rPr>
                  <m:t>+</m:t>
                </m:r>
                <m:d>
                  <m:dPr>
                    <m:begChr m:val="("/>
                    <m:endChr m:val=")"/>
                    <m:sepChr m:val=""/>
                    <m:grow/>
                  </m:dPr>
                  <m:e>
                    <m:r>
                      <m:rPr>
                        <m:sty m:val="p"/>
                      </m:rPr>
                      <m:t>−</m:t>
                    </m:r>
                    <m:r>
                      <m:t>0.0833</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22</m:t>
                </m:r>
                <m:r>
                  <m:rPr>
                    <m:sty m:val="p"/>
                  </m:rPr>
                  <m:t>−</m:t>
                </m:r>
                <m:r>
                  <m:t>27</m:t>
                </m:r>
              </m:oMath>
            </m:oMathPara>
          </w:p>
        </w:tc>
        <w:tc>
          <w:tcPr/>
          <w:p>
            <w:pPr>
              <w:pStyle w:val="Compact"/>
              <w:jc w:val="center"/>
            </w:pPr>
            <w:r>
              <w:t xml:space="preserve">0.5</w:t>
            </w:r>
          </w:p>
        </w:tc>
        <w:tc>
          <w:tcPr/>
          <w:p>
            <w:pPr>
              <w:pStyle w:val="Compact"/>
              <w:jc w:val="center"/>
            </w:pPr>
            <m:oMathPara>
              <m:oMathParaPr>
                <m:jc m:val="center"/>
              </m:oMathParaPr>
              <m:oMath>
                <m:r>
                  <m:t>2.26</m:t>
                </m:r>
                <m:r>
                  <m:rPr>
                    <m:sty m:val="p"/>
                  </m:rPr>
                  <m:t>+</m:t>
                </m:r>
                <m:d>
                  <m:dPr>
                    <m:begChr m:val="("/>
                    <m:endChr m:val=")"/>
                    <m:sepChr m:val=""/>
                    <m:grow/>
                  </m:dPr>
                  <m:e>
                    <m:r>
                      <m:rPr>
                        <m:sty m:val="p"/>
                      </m:rPr>
                      <m:t>−</m:t>
                    </m:r>
                    <m:r>
                      <m:t>0.0800</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27</m:t>
                </m:r>
                <m:r>
                  <m:rPr>
                    <m:sty m:val="p"/>
                  </m:rPr>
                  <m:t>−</m:t>
                </m:r>
                <m:r>
                  <m:t>30</m:t>
                </m:r>
              </m:oMath>
            </m:oMathPara>
          </w:p>
        </w:tc>
        <w:tc>
          <w:tcPr/>
          <w:p>
            <w:pPr>
              <w:pStyle w:val="Compact"/>
              <w:jc w:val="center"/>
            </w:pPr>
            <w:r>
              <w:t xml:space="preserve">0.1</w:t>
            </w:r>
          </w:p>
        </w:tc>
        <w:tc>
          <w:tcPr/>
          <w:p>
            <w:pPr>
              <w:pStyle w:val="Compact"/>
              <w:jc w:val="center"/>
            </w:pPr>
            <m:oMathPara>
              <m:oMathParaPr>
                <m:jc m:val="center"/>
              </m:oMathParaPr>
              <m:oMath>
                <m:r>
                  <m:t>1.00</m:t>
                </m:r>
                <m:r>
                  <m:rPr>
                    <m:sty m:val="p"/>
                  </m:rPr>
                  <m:t>+</m:t>
                </m:r>
                <m:d>
                  <m:dPr>
                    <m:begChr m:val="("/>
                    <m:endChr m:val=")"/>
                    <m:sepChr m:val=""/>
                    <m:grow/>
                  </m:dPr>
                  <m:e>
                    <m:r>
                      <m:rPr>
                        <m:sty m:val="p"/>
                      </m:rPr>
                      <m:t>−</m:t>
                    </m:r>
                    <m:r>
                      <m:t>0.0333</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30</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t</m:t>
                    </m:r>
                    <m:r>
                      <m:t>e</m:t>
                    </m:r>
                    <m:r>
                      <m:t>m</m:t>
                    </m:r>
                    <m:sSub>
                      <m:e>
                        <m:r>
                          <m:t>p</m:t>
                        </m:r>
                      </m:e>
                      <m:sub>
                        <m:r>
                          <m:t>C</m:t>
                        </m:r>
                      </m:sub>
                    </m:sSub>
                  </m:e>
                </m:d>
              </m:oMath>
            </m:oMathPara>
          </w:p>
        </w:tc>
      </w:tr>
      <w:tr>
        <w:tc>
          <w:tcPr/>
          <w:p>
            <w:pPr>
              <w:pStyle w:val="Compact"/>
            </w:pPr>
          </w:p>
        </w:tc>
        <w:tc>
          <w:tcPr/>
          <w:p>
            <w:pPr>
              <w:pStyle w:val="Compact"/>
              <w:jc w:val="center"/>
            </w:pPr>
            <w:r>
              <w:t xml:space="preserve">B</w:t>
            </w:r>
          </w:p>
        </w:tc>
        <w:tc>
          <w:tcPr/>
          <w:p>
            <w:pPr>
              <w:pStyle w:val="Compact"/>
              <w:jc w:val="center"/>
            </w:pPr>
            <w:r>
              <w:t xml:space="preserve">Depth</w:t>
            </w:r>
          </w:p>
        </w:tc>
        <w:tc>
          <w:tcPr/>
          <w:p>
            <w:pPr>
              <w:pStyle w:val="Compact"/>
              <w:jc w:val="center"/>
            </w:pPr>
            <m:oMathPara>
              <m:oMathParaPr>
                <m:jc m:val="center"/>
              </m:oMathParaPr>
              <m:oMath>
                <m:r>
                  <m:t>d</m:t>
                </m:r>
                <m:r>
                  <m:t>e</m:t>
                </m:r>
                <m:r>
                  <m:t>p</m:t>
                </m:r>
                <m:r>
                  <m:t>t</m:t>
                </m:r>
                <m:sSub>
                  <m:e>
                    <m:r>
                      <m:t>h</m:t>
                    </m:r>
                  </m:e>
                  <m:sub>
                    <m:r>
                      <m:t>m</m:t>
                    </m:r>
                  </m:sub>
                </m:sSub>
                <m:r>
                  <m:rPr>
                    <m:sty m:val="p"/>
                  </m:rPr>
                  <m:t>=</m:t>
                </m:r>
                <m:r>
                  <m:t>0</m:t>
                </m:r>
                <m:r>
                  <m:rPr>
                    <m:sty m:val="p"/>
                  </m:rPr>
                  <m:t>−</m:t>
                </m:r>
                <m:r>
                  <m:t>2</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0.005</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2</m:t>
                </m:r>
                <m:r>
                  <m:rPr>
                    <m:sty m:val="p"/>
                  </m:rPr>
                  <m:t>−</m:t>
                </m:r>
                <m:r>
                  <m:t>10</m:t>
                </m:r>
              </m:oMath>
            </m:oMathPara>
          </w:p>
        </w:tc>
        <w:tc>
          <w:tcPr/>
          <w:p>
            <w:pPr>
              <w:pStyle w:val="Compact"/>
              <w:jc w:val="center"/>
            </w:pPr>
            <w:r>
              <w:t xml:space="preserve">0.5</w:t>
            </w:r>
          </w:p>
        </w:tc>
        <w:tc>
          <w:tcPr/>
          <w:p>
            <w:pPr>
              <w:pStyle w:val="Compact"/>
              <w:jc w:val="center"/>
            </w:pPr>
            <m:oMathPara>
              <m:oMathParaPr>
                <m:jc m:val="center"/>
              </m:oMathParaPr>
              <m:oMath>
                <m:r>
                  <m:t>0.38</m:t>
                </m:r>
                <m:r>
                  <m:rPr>
                    <m:sty m:val="p"/>
                  </m:rPr>
                  <m:t>+</m:t>
                </m:r>
                <m:d>
                  <m:dPr>
                    <m:begChr m:val="("/>
                    <m:endChr m:val=")"/>
                    <m:sepChr m:val=""/>
                    <m:grow/>
                  </m:dPr>
                  <m:e>
                    <m:r>
                      <m:t>0.0625</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10</m:t>
                </m:r>
                <m:r>
                  <m:rPr>
                    <m:sty m:val="p"/>
                  </m:rPr>
                  <m:t>−</m:t>
                </m:r>
                <m:r>
                  <m:t>20</m:t>
                </m:r>
              </m:oMath>
            </m:oMathPara>
          </w:p>
        </w:tc>
        <w:tc>
          <w:tcPr/>
          <w:p>
            <w:pPr>
              <w:pStyle w:val="Compact"/>
              <w:jc w:val="center"/>
            </w:pPr>
            <w:r>
              <w:t xml:space="preserve">1</w:t>
            </w:r>
          </w:p>
        </w:tc>
        <w:tc>
          <w:tcPr/>
          <w:p>
            <w:pPr>
              <w:pStyle w:val="Compact"/>
              <w:jc w:val="center"/>
            </w:pPr>
            <m:oMathPara>
              <m:oMathParaPr>
                <m:jc m:val="center"/>
              </m:oMathParaPr>
              <m:oMath>
                <m:r>
                  <m:t>1.5</m:t>
                </m:r>
                <m:r>
                  <m:rPr>
                    <m:sty m:val="p"/>
                  </m:rPr>
                  <m:t>+</m:t>
                </m:r>
                <m:d>
                  <m:dPr>
                    <m:begChr m:val="("/>
                    <m:endChr m:val=")"/>
                    <m:sepChr m:val=""/>
                    <m:grow/>
                  </m:dPr>
                  <m:e>
                    <m:r>
                      <m:rPr>
                        <m:sty m:val="p"/>
                      </m:rPr>
                      <m:t>−</m:t>
                    </m:r>
                    <m:r>
                      <m:t>0.05</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20</m:t>
                </m:r>
                <m:r>
                  <m:rPr>
                    <m:sty m:val="p"/>
                  </m:rPr>
                  <m:t>−</m:t>
                </m:r>
                <m:r>
                  <m:t>50</m:t>
                </m:r>
              </m:oMath>
            </m:oMathPara>
          </w:p>
        </w:tc>
        <w:tc>
          <w:tcPr/>
          <w:p>
            <w:pPr>
              <w:pStyle w:val="Compact"/>
              <w:jc w:val="center"/>
            </w:pPr>
            <w:r>
              <w:t xml:space="preserve">0.5</w:t>
            </w:r>
          </w:p>
        </w:tc>
        <w:tc>
          <w:tcPr/>
          <w:p>
            <w:pPr>
              <w:pStyle w:val="Compact"/>
              <w:jc w:val="center"/>
            </w:pPr>
            <m:oMathPara>
              <m:oMathParaPr>
                <m:jc m:val="center"/>
              </m:oMathParaPr>
              <m:oMath>
                <m:r>
                  <m:t>0.5</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50</m:t>
                </m:r>
                <m:r>
                  <m:rPr>
                    <m:sty m:val="p"/>
                  </m:rPr>
                  <m:t>−</m:t>
                </m:r>
                <m:r>
                  <m:t>100</m:t>
                </m:r>
              </m:oMath>
            </m:oMathPara>
          </w:p>
        </w:tc>
        <w:tc>
          <w:tcPr/>
          <w:p>
            <w:pPr>
              <w:pStyle w:val="Compact"/>
              <w:jc w:val="center"/>
            </w:pPr>
            <w:r>
              <w:t xml:space="preserve">0.5</w:t>
            </w:r>
          </w:p>
        </w:tc>
        <w:tc>
          <w:tcPr/>
          <w:p>
            <w:pPr>
              <w:pStyle w:val="Compact"/>
              <w:jc w:val="center"/>
            </w:pPr>
            <m:oMathPara>
              <m:oMathParaPr>
                <m:jc m:val="center"/>
              </m:oMathParaPr>
              <m:oMath>
                <m:r>
                  <m:t>1</m:t>
                </m:r>
                <m:r>
                  <m:rPr>
                    <m:sty m:val="p"/>
                  </m:rPr>
                  <m:t>+</m:t>
                </m:r>
                <m:d>
                  <m:dPr>
                    <m:begChr m:val="("/>
                    <m:endChr m:val=")"/>
                    <m:sepChr m:val=""/>
                    <m:grow/>
                  </m:dPr>
                  <m:e>
                    <m:r>
                      <m:rPr>
                        <m:sty m:val="p"/>
                      </m:rPr>
                      <m:t>−</m:t>
                    </m:r>
                    <m:r>
                      <m:t>0.01</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100</m:t>
                </m:r>
                <m:r>
                  <m:rPr>
                    <m:sty m:val="p"/>
                  </m:rPr>
                  <m:t>+</m:t>
                </m:r>
              </m:oMath>
            </m:oMathPara>
          </w:p>
        </w:tc>
        <w:tc>
          <w:tcPr/>
          <w:p>
            <w:pPr>
              <w:pStyle w:val="Compact"/>
              <w:jc w:val="center"/>
            </w:pPr>
            <w:r>
              <w:t xml:space="preserve">0.5</w:t>
            </w:r>
          </w:p>
        </w:tc>
        <w:tc>
          <w:tcPr/>
          <w:p>
            <w:pPr>
              <w:pStyle w:val="Compact"/>
              <w:jc w:val="center"/>
            </w:pPr>
            <m:oMathPara>
              <m:oMathParaPr>
                <m:jc m:val="center"/>
              </m:oMathParaPr>
              <m:oMath>
                <m:r>
                  <m:t>0.0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jc w:val="center"/>
            </w:pPr>
            <w:r>
              <w:t xml:space="preserve">C</w:t>
            </w:r>
          </w:p>
        </w:tc>
        <w:tc>
          <w:tcPr/>
          <w:p>
            <w:pPr>
              <w:pStyle w:val="Compact"/>
              <w:jc w:val="center"/>
            </w:pPr>
            <w:r>
              <w:t xml:space="preserve">Salinity</w:t>
            </w:r>
          </w:p>
        </w:tc>
        <w:tc>
          <w:tcPr/>
          <w:p>
            <w:pPr>
              <w:pStyle w:val="Compact"/>
              <w:jc w:val="center"/>
            </w:pPr>
            <m:oMathPara>
              <m:oMathParaPr>
                <m:jc m:val="center"/>
              </m:oMathParaPr>
              <m:oMath>
                <m:r>
                  <m:t>s</m:t>
                </m:r>
                <m:r>
                  <m:t>a</m:t>
                </m:r>
                <m:sSub>
                  <m:e>
                    <m:r>
                      <m:t>l</m:t>
                    </m:r>
                  </m:e>
                  <m:sub>
                    <m:r>
                      <m:t>p</m:t>
                    </m:r>
                    <m:r>
                      <m:t>s</m:t>
                    </m:r>
                    <m:r>
                      <m:t>u</m:t>
                    </m:r>
                  </m:sub>
                </m:sSub>
                <m:r>
                  <m:rPr>
                    <m:sty m:val="p"/>
                  </m:rPr>
                  <m:t>=</m:t>
                </m:r>
                <m:r>
                  <m:t>0</m:t>
                </m:r>
                <m:r>
                  <m:rPr>
                    <m:sty m:val="p"/>
                  </m:rPr>
                  <m:t>−</m:t>
                </m:r>
                <m:r>
                  <m:t>0.5</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0.5</m:t>
                </m:r>
                <m:r>
                  <m:rPr>
                    <m:sty m:val="p"/>
                  </m:rPr>
                  <m:t>−</m:t>
                </m:r>
                <m:r>
                  <m:t>5</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5</m:t>
                </m:r>
                <m:r>
                  <m:rPr>
                    <m:sty m:val="p"/>
                  </m:rPr>
                  <m:t>−</m:t>
                </m:r>
                <m:r>
                  <m:t>15</m:t>
                </m:r>
              </m:oMath>
            </m:oMathPara>
          </w:p>
        </w:tc>
        <w:tc>
          <w:tcPr/>
          <w:p>
            <w:pPr>
              <w:pStyle w:val="Compact"/>
              <w:jc w:val="center"/>
            </w:pPr>
            <w:r>
              <w:t xml:space="preserve">1</w:t>
            </w:r>
          </w:p>
        </w:tc>
        <w:tc>
          <w:tcPr/>
          <w:p>
            <w:pPr>
              <w:pStyle w:val="Compact"/>
              <w:jc w:val="center"/>
            </w:pPr>
            <m:oMathPara>
              <m:oMathParaPr>
                <m:jc m:val="center"/>
              </m:oMathParaPr>
              <m:oMath>
                <m:r>
                  <m:t>1.25</m:t>
                </m:r>
                <m:r>
                  <m:rPr>
                    <m:sty m:val="p"/>
                  </m:rPr>
                  <m:t>+</m:t>
                </m:r>
                <m:d>
                  <m:dPr>
                    <m:begChr m:val="("/>
                    <m:endChr m:val=")"/>
                    <m:sepChr m:val=""/>
                    <m:grow/>
                  </m:dPr>
                  <m:e>
                    <m:r>
                      <m:rPr>
                        <m:sty m:val="p"/>
                      </m:rPr>
                      <m:t>−</m:t>
                    </m:r>
                    <m:r>
                      <m:t>0.05</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15</m:t>
                </m:r>
                <m:r>
                  <m:rPr>
                    <m:sty m:val="p"/>
                  </m:rPr>
                  <m:t>−</m:t>
                </m:r>
                <m:r>
                  <m:t>20</m:t>
                </m:r>
              </m:oMath>
            </m:oMathPara>
          </w:p>
        </w:tc>
        <w:tc>
          <w:tcPr/>
          <w:p>
            <w:pPr>
              <w:pStyle w:val="Compact"/>
              <w:jc w:val="center"/>
            </w:pPr>
            <w:r>
              <w:t xml:space="preserve">0.5</w:t>
            </w:r>
          </w:p>
        </w:tc>
        <w:tc>
          <w:tcPr/>
          <w:p>
            <w:pPr>
              <w:pStyle w:val="Compact"/>
              <w:jc w:val="center"/>
            </w:pPr>
            <m:oMathPara>
              <m:oMathParaPr>
                <m:jc m:val="center"/>
              </m:oMathParaPr>
              <m:oMath>
                <m:r>
                  <m:t>2.0</m:t>
                </m:r>
                <m:r>
                  <m:rPr>
                    <m:sty m:val="p"/>
                  </m:rPr>
                  <m:t>+</m:t>
                </m:r>
                <m:d>
                  <m:dPr>
                    <m:begChr m:val="("/>
                    <m:endChr m:val=")"/>
                    <m:sepChr m:val=""/>
                    <m:grow/>
                  </m:dPr>
                  <m:e>
                    <m:r>
                      <m:rPr>
                        <m:sty m:val="p"/>
                      </m:rPr>
                      <m:t>−</m:t>
                    </m:r>
                    <m:r>
                      <m:t>0.1</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20</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s</m:t>
                    </m:r>
                    <m:r>
                      <m:t>a</m:t>
                    </m:r>
                    <m:sSub>
                      <m:e>
                        <m:r>
                          <m:t>l</m:t>
                        </m:r>
                      </m:e>
                      <m:sub>
                        <m:r>
                          <m:t>p</m:t>
                        </m:r>
                        <m:r>
                          <m:t>s</m:t>
                        </m:r>
                        <m:r>
                          <m:t>u</m:t>
                        </m:r>
                      </m:sub>
                    </m:sSub>
                  </m:e>
                </m:d>
              </m:oMath>
            </m:oMathPara>
          </w:p>
        </w:tc>
      </w:tr>
      <w:tr>
        <w:tc>
          <w:tcPr/>
          <w:p>
            <w:pPr>
              <w:pStyle w:val="Compact"/>
            </w:pPr>
          </w:p>
        </w:tc>
        <w:tc>
          <w:tcPr/>
          <w:p>
            <w:pPr>
              <w:pStyle w:val="Compact"/>
              <w:jc w:val="center"/>
            </w:pPr>
            <w:r>
              <w:t xml:space="preserve">D</w:t>
            </w:r>
          </w:p>
        </w:tc>
        <w:tc>
          <w:tcPr/>
          <w:p>
            <w:pPr>
              <w:pStyle w:val="Compact"/>
              <w:jc w:val="center"/>
            </w:pPr>
            <w:r>
              <w:t xml:space="preserve">Flow Velocity</w:t>
            </w: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m:t>
                </m:r>
                <m:r>
                  <m:rPr>
                    <m:sty m:val="p"/>
                  </m:rPr>
                  <m:t>−</m:t>
                </m:r>
                <m:r>
                  <m:t>0.3</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0.3</m:t>
                </m:r>
                <m:r>
                  <m:rPr>
                    <m:sty m:val="p"/>
                  </m:rPr>
                  <m:t>−</m:t>
                </m:r>
                <m:r>
                  <m:t>1.5</m:t>
                </m:r>
              </m:oMath>
            </m:oMathPara>
          </w:p>
        </w:tc>
        <w:tc>
          <w:tcPr/>
          <w:p>
            <w:pPr>
              <w:pStyle w:val="Compact"/>
              <w:jc w:val="center"/>
            </w:pPr>
            <w:r>
              <w:t xml:space="preserve">1</w:t>
            </w:r>
          </w:p>
        </w:tc>
        <w:tc>
          <w:tcPr/>
          <w:p>
            <w:pPr>
              <w:pStyle w:val="Compact"/>
              <w:jc w:val="center"/>
            </w:pPr>
            <m:oMathPara>
              <m:oMathParaPr>
                <m:jc m:val="center"/>
              </m:oMathParaPr>
              <m:oMath>
                <m:r>
                  <m:t>1.13</m:t>
                </m:r>
                <m:r>
                  <m:rPr>
                    <m:sty m:val="p"/>
                  </m:rPr>
                  <m:t>+</m:t>
                </m:r>
                <m:d>
                  <m:dPr>
                    <m:begChr m:val="("/>
                    <m:endChr m:val=")"/>
                    <m:sepChr m:val=""/>
                    <m:grow/>
                  </m:dPr>
                  <m:e>
                    <m:r>
                      <m:rPr>
                        <m:sty m:val="p"/>
                      </m:rPr>
                      <m:t>−</m:t>
                    </m:r>
                    <m:r>
                      <m:t>0.4167</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1.5</m:t>
                </m:r>
                <m:r>
                  <m:rPr>
                    <m:sty m:val="p"/>
                  </m:rPr>
                  <m:t>−</m:t>
                </m:r>
                <m:r>
                  <m:t>3.5</m:t>
                </m:r>
              </m:oMath>
            </m:oMathPara>
          </w:p>
        </w:tc>
        <w:tc>
          <w:tcPr/>
          <w:p>
            <w:pPr>
              <w:pStyle w:val="Compact"/>
              <w:jc w:val="center"/>
            </w:pPr>
            <w:r>
              <w:t xml:space="preserve">0.5</w:t>
            </w:r>
          </w:p>
        </w:tc>
        <w:tc>
          <w:tcPr/>
          <w:p>
            <w:pPr>
              <w:pStyle w:val="Compact"/>
              <w:jc w:val="center"/>
            </w:pPr>
            <m:oMathPara>
              <m:oMathParaPr>
                <m:jc m:val="center"/>
              </m:oMathParaPr>
              <m:oMath>
                <m:r>
                  <m:t>0.65</m:t>
                </m:r>
                <m:r>
                  <m:rPr>
                    <m:sty m:val="p"/>
                  </m:rPr>
                  <m:t>+</m:t>
                </m:r>
                <m:d>
                  <m:dPr>
                    <m:begChr m:val="("/>
                    <m:endChr m:val=")"/>
                    <m:sepChr m:val=""/>
                    <m:grow/>
                  </m:dPr>
                  <m:e>
                    <m:r>
                      <m:rPr>
                        <m:sty m:val="p"/>
                      </m:rPr>
                      <m:t>−</m:t>
                    </m:r>
                    <m:r>
                      <m:t>0.1</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3.5</m:t>
                </m:r>
                <m:r>
                  <m:rPr>
                    <m:sty m:val="p"/>
                  </m:rPr>
                  <m:t>−</m:t>
                </m:r>
                <m:r>
                  <m:t>4.5</m:t>
                </m:r>
              </m:oMath>
            </m:oMathPara>
          </w:p>
        </w:tc>
        <w:tc>
          <w:tcPr/>
          <w:p>
            <w:pPr>
              <w:pStyle w:val="Compact"/>
              <w:jc w:val="center"/>
            </w:pPr>
            <w:r>
              <w:t xml:space="preserve">0.3</w:t>
            </w:r>
          </w:p>
        </w:tc>
        <w:tc>
          <w:tcPr/>
          <w:p>
            <w:pPr>
              <w:pStyle w:val="Compact"/>
              <w:jc w:val="center"/>
            </w:pPr>
            <m:oMathPara>
              <m:oMathParaPr>
                <m:jc m:val="center"/>
              </m:oMathParaPr>
              <m:oMath>
                <m:r>
                  <m:t>1.35</m:t>
                </m:r>
                <m:r>
                  <m:rPr>
                    <m:sty m:val="p"/>
                  </m:rPr>
                  <m:t>+</m:t>
                </m:r>
                <m:d>
                  <m:dPr>
                    <m:begChr m:val="("/>
                    <m:endChr m:val=")"/>
                    <m:sepChr m:val=""/>
                    <m:grow/>
                  </m:dPr>
                  <m:e>
                    <m:r>
                      <m:rPr>
                        <m:sty m:val="p"/>
                      </m:rPr>
                      <m:t>−</m:t>
                    </m:r>
                    <m:r>
                      <m:t>0.3</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4.5</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jc w:val="center"/>
            </w:pPr>
            <w:r>
              <w:t xml:space="preserve">E</w:t>
            </w:r>
          </w:p>
        </w:tc>
        <w:tc>
          <w:tcPr/>
          <w:p>
            <w:pPr>
              <w:pStyle w:val="Compact"/>
              <w:jc w:val="center"/>
            </w:pPr>
            <w:r>
              <w:t xml:space="preserve">Substrate</w:t>
            </w:r>
          </w:p>
        </w:tc>
        <w:tc>
          <w:tcPr/>
          <w:p>
            <w:pPr>
              <w:pStyle w:val="Compact"/>
              <w:jc w:val="center"/>
            </w:pPr>
            <w:r>
              <w:t xml:space="preserve">soft substrate</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hard substrate</w:t>
            </w:r>
          </w:p>
        </w:tc>
        <w:tc>
          <w:tcPr/>
          <w:p>
            <w:pPr>
              <w:pStyle w:val="Compact"/>
              <w:jc w:val="center"/>
            </w:pPr>
            <w:r>
              <w:t xml:space="preserve">0.5</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present SAV</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absent SAV</w:t>
            </w:r>
          </w:p>
        </w:tc>
        <w:tc>
          <w:tcPr/>
          <w:p>
            <w:pPr>
              <w:pStyle w:val="Compact"/>
              <w:jc w:val="center"/>
            </w:pPr>
            <w:r>
              <w:t xml:space="preserve">0.5</w:t>
            </w:r>
          </w:p>
        </w:tc>
        <w:tc>
          <w:tcPr/>
          <w:p>
            <w:pPr>
              <w:pStyle w:val="Compact"/>
              <w:jc w:val="center"/>
            </w:pPr>
            <w:r>
              <w:t xml:space="preserve">NA</w:t>
            </w:r>
          </w:p>
        </w:tc>
      </w:tr>
    </w:tbl>
    <w:p>
      <w:pPr>
        <w:pStyle w:val="SourceCode"/>
      </w:pPr>
      <w:r>
        <w:rPr>
          <w:rStyle w:val="VerbatimChar"/>
        </w:rPr>
        <w:t xml:space="preserve">## Warning in kable_styling(., full_width = T):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4,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5, width_min = "20em"):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TableCaption"/>
      </w:pPr>
      <w:r>
        <w:t xml:space="preserve">Habitat Suitability Indices for Non-migratory Juvenile Alewife and Larvae</w:t>
      </w:r>
    </w:p>
    <w:tbl>
      <w:tblPr>
        <w:tblStyle w:val="Table"/>
        <w:tblW w:type="pct" w:w="5000"/>
        <w:tblLook w:firstRow="1" w:lastRow="0" w:firstColumn="0" w:lastColumn="0" w:noHBand="0" w:noVBand="0" w:val="0020"/>
        <w:jc w:val="start"/>
        <w:tblCaption w:val="Habitat Suitability Indices for Non-migratory Juvenile Alewife and Larvae"/>
      </w:tblPr>
      <w:tblGrid>
        <w:gridCol w:w="2244"/>
        <w:gridCol w:w="660"/>
        <w:gridCol w:w="990"/>
        <w:gridCol w:w="1650"/>
        <w:gridCol w:w="330"/>
        <w:gridCol w:w="2046"/>
      </w:tblGrid>
      <w:tr>
        <w:trPr>
          <w:tblHeader w:val="true"/>
        </w:trPr>
        <w:tc>
          <w:tcPr/>
          <w:p>
            <w:pPr>
              <w:pStyle w:val="Compact"/>
            </w:pPr>
          </w:p>
        </w:tc>
        <w:tc>
          <w:tcPr/>
          <w:p>
            <w:pPr>
              <w:pStyle w:val="Compact"/>
              <w:jc w:val="center"/>
            </w:pPr>
            <w:r>
              <w:t xml:space="preserve">Variable</w:t>
            </w:r>
          </w:p>
        </w:tc>
        <w:tc>
          <w:tcPr/>
          <w:p>
            <w:pPr>
              <w:pStyle w:val="Compact"/>
              <w:jc w:val="center"/>
            </w:pPr>
            <w:r>
              <w:t xml:space="preserve">Parameter</w:t>
            </w:r>
          </w:p>
        </w:tc>
        <w:tc>
          <w:tcPr/>
          <w:p>
            <w:pPr>
              <w:pStyle w:val="Compact"/>
              <w:jc w:val="center"/>
            </w:pPr>
            <w:r>
              <w:t xml:space="preserve">Range</w:t>
            </w:r>
          </w:p>
        </w:tc>
        <w:tc>
          <w:tcPr/>
          <w:p>
            <w:pPr>
              <w:pStyle w:val="Compact"/>
              <w:jc w:val="center"/>
            </w:pPr>
            <w:r>
              <w:t xml:space="preserve">HSI</w:t>
            </w:r>
          </w:p>
        </w:tc>
        <w:tc>
          <w:tcPr/>
          <w:p>
            <w:pPr>
              <w:pStyle w:val="Compact"/>
              <w:jc w:val="center"/>
            </w:pPr>
            <w:r>
              <w:t xml:space="preserve">Formulas</w:t>
            </w:r>
          </w:p>
        </w:tc>
      </w:tr>
      <w:tr>
        <w:tc>
          <w:tcPr/>
          <w:p>
            <w:pPr>
              <w:pStyle w:val="Compact"/>
              <w:jc w:val="left"/>
            </w:pPr>
            <w:r>
              <w:t xml:space="preserve">Non-migratory Juvenile and Larvae</w:t>
            </w:r>
          </w:p>
        </w:tc>
        <w:tc>
          <w:tcPr/>
          <w:p>
            <w:pPr>
              <w:pStyle w:val="Compact"/>
              <w:jc w:val="center"/>
            </w:pPr>
            <w:r>
              <w:t xml:space="preserve">A</w:t>
            </w:r>
          </w:p>
        </w:tc>
        <w:tc>
          <w:tcPr/>
          <w:p>
            <w:pPr>
              <w:pStyle w:val="Compact"/>
              <w:jc w:val="center"/>
            </w:pPr>
            <w:r>
              <w:t xml:space="preserve">Temperature</w:t>
            </w:r>
          </w:p>
        </w:tc>
        <w:tc>
          <w:tcPr/>
          <w:p>
            <w:pPr>
              <w:pStyle w:val="Compact"/>
              <w:jc w:val="center"/>
            </w:pPr>
            <m:oMathPara>
              <m:oMathParaPr>
                <m:jc m:val="center"/>
              </m:oMathParaPr>
              <m:oMath>
                <m:r>
                  <m:t>t</m:t>
                </m:r>
                <m:r>
                  <m:t>e</m:t>
                </m:r>
                <m:r>
                  <m:t>m</m:t>
                </m:r>
                <m:sSub>
                  <m:e>
                    <m:r>
                      <m:t>p</m:t>
                    </m:r>
                  </m:e>
                  <m:sub>
                    <m:r>
                      <m:t>C</m:t>
                    </m:r>
                  </m:sub>
                </m:sSub>
                <m:r>
                  <m:rPr>
                    <m:sty m:val="p"/>
                  </m:rPr>
                  <m:t>=</m:t>
                </m:r>
                <m:r>
                  <m:t>3</m:t>
                </m:r>
                <m:r>
                  <m:rPr>
                    <m:sty m:val="p"/>
                  </m:rPr>
                  <m:t>−</m:t>
                </m:r>
                <m:r>
                  <m:t>11</m:t>
                </m:r>
              </m:oMath>
            </m:oMathPara>
          </w:p>
        </w:tc>
        <w:tc>
          <w:tcPr/>
          <w:p>
            <w:pPr>
              <w:pStyle w:val="Compact"/>
              <w:jc w:val="center"/>
            </w:pPr>
            <w:r>
              <w:t xml:space="preserve">0</w:t>
            </w:r>
          </w:p>
        </w:tc>
        <w:tc>
          <w:tcPr/>
          <w:p>
            <w:pPr>
              <w:pStyle w:val="Compact"/>
              <w:jc w:val="center"/>
            </w:pPr>
            <m:oMathPara>
              <m:oMathParaPr>
                <m:jc m:val="center"/>
              </m:oMathParaPr>
              <m:oMath>
                <m:r>
                  <m:rPr>
                    <m:sty m:val="p"/>
                  </m:rPr>
                  <m:t>−</m:t>
                </m:r>
                <m:r>
                  <m:t>0.19</m:t>
                </m:r>
                <m:r>
                  <m:rPr>
                    <m:sty m:val="p"/>
                  </m:rPr>
                  <m:t>+</m:t>
                </m:r>
                <m:d>
                  <m:dPr>
                    <m:begChr m:val="("/>
                    <m:endChr m:val=")"/>
                    <m:sepChr m:val=""/>
                    <m:grow/>
                  </m:dPr>
                  <m:e>
                    <m:r>
                      <m:t>0.0625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11</m:t>
                </m:r>
                <m:r>
                  <m:rPr>
                    <m:sty m:val="p"/>
                  </m:rPr>
                  <m:t>−</m:t>
                </m:r>
                <m:r>
                  <m:t>17</m:t>
                </m:r>
              </m:oMath>
            </m:oMathPara>
          </w:p>
        </w:tc>
        <w:tc>
          <w:tcPr/>
          <w:p>
            <w:pPr>
              <w:pStyle w:val="Compact"/>
              <w:jc w:val="center"/>
            </w:pPr>
            <w:r>
              <w:t xml:space="preserve">0.5</w:t>
            </w:r>
          </w:p>
        </w:tc>
        <w:tc>
          <w:tcPr/>
          <w:p>
            <w:pPr>
              <w:pStyle w:val="Compact"/>
              <w:jc w:val="center"/>
            </w:pPr>
            <m:oMathPara>
              <m:oMathParaPr>
                <m:jc m:val="center"/>
              </m:oMathParaPr>
              <m:oMath>
                <m:r>
                  <m:rPr>
                    <m:sty m:val="p"/>
                  </m:rPr>
                  <m:t>−</m:t>
                </m:r>
                <m:r>
                  <m:t>0.42</m:t>
                </m:r>
                <m:r>
                  <m:rPr>
                    <m:sty m:val="p"/>
                  </m:rPr>
                  <m:t>+</m:t>
                </m:r>
                <m:d>
                  <m:dPr>
                    <m:begChr m:val="("/>
                    <m:endChr m:val=")"/>
                    <m:sepChr m:val=""/>
                    <m:grow/>
                  </m:dPr>
                  <m:e>
                    <m:r>
                      <m:t>0.0833</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17</m:t>
                </m:r>
                <m:r>
                  <m:rPr>
                    <m:sty m:val="p"/>
                  </m:rPr>
                  <m:t>−</m:t>
                </m:r>
                <m:r>
                  <m:t>22</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0.0</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22</m:t>
                </m:r>
                <m:r>
                  <m:rPr>
                    <m:sty m:val="p"/>
                  </m:rPr>
                  <m:t>−</m:t>
                </m:r>
                <m:r>
                  <m:t>28</m:t>
                </m:r>
              </m:oMath>
            </m:oMathPara>
          </w:p>
        </w:tc>
        <w:tc>
          <w:tcPr/>
          <w:p>
            <w:pPr>
              <w:pStyle w:val="Compact"/>
              <w:jc w:val="center"/>
            </w:pPr>
            <w:r>
              <w:t xml:space="preserve">1</w:t>
            </w:r>
          </w:p>
        </w:tc>
        <w:tc>
          <w:tcPr/>
          <w:p>
            <w:pPr>
              <w:pStyle w:val="Compact"/>
              <w:jc w:val="center"/>
            </w:pPr>
            <m:oMathPara>
              <m:oMathParaPr>
                <m:jc m:val="center"/>
              </m:oMathParaPr>
              <m:oMath>
                <m:r>
                  <m:t>3.57</m:t>
                </m:r>
                <m:r>
                  <m:rPr>
                    <m:sty m:val="p"/>
                  </m:rPr>
                  <m:t>+</m:t>
                </m:r>
                <m:d>
                  <m:dPr>
                    <m:begChr m:val="("/>
                    <m:endChr m:val=")"/>
                    <m:sepChr m:val=""/>
                    <m:grow/>
                  </m:dPr>
                  <m:e>
                    <m:r>
                      <m:rPr>
                        <m:sty m:val="p"/>
                      </m:rPr>
                      <m:t>−</m:t>
                    </m:r>
                    <m:r>
                      <m:t>0.1167</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28</m:t>
                </m:r>
                <m:r>
                  <m:rPr>
                    <m:sty m:val="p"/>
                  </m:rPr>
                  <m:t>−</m:t>
                </m:r>
                <m:r>
                  <m:t>29.7</m:t>
                </m:r>
              </m:oMath>
            </m:oMathPara>
          </w:p>
        </w:tc>
        <w:tc>
          <w:tcPr/>
          <w:p>
            <w:pPr>
              <w:pStyle w:val="Compact"/>
              <w:jc w:val="center"/>
            </w:pPr>
            <w:r>
              <w:t xml:space="preserve">0.3</w:t>
            </w:r>
          </w:p>
        </w:tc>
        <w:tc>
          <w:tcPr/>
          <w:p>
            <w:pPr>
              <w:pStyle w:val="Compact"/>
              <w:jc w:val="center"/>
            </w:pPr>
            <m:oMathPara>
              <m:oMathParaPr>
                <m:jc m:val="center"/>
              </m:oMathParaPr>
              <m:oMath>
                <m:r>
                  <m:t>5.24</m:t>
                </m:r>
                <m:r>
                  <m:rPr>
                    <m:sty m:val="p"/>
                  </m:rPr>
                  <m:t>+</m:t>
                </m:r>
                <m:d>
                  <m:dPr>
                    <m:begChr m:val="("/>
                    <m:endChr m:val=")"/>
                    <m:sepChr m:val=""/>
                    <m:grow/>
                  </m:dPr>
                  <m:e>
                    <m:r>
                      <m:rPr>
                        <m:sty m:val="p"/>
                      </m:rPr>
                      <m:t>−</m:t>
                    </m:r>
                    <m:r>
                      <m:t>0.1765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29.7</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0.0</m:t>
                    </m:r>
                    <m:r>
                      <m:rPr>
                        <m:sty m:val="p"/>
                      </m:rPr>
                      <m:t>*</m:t>
                    </m:r>
                    <m:r>
                      <m:t>t</m:t>
                    </m:r>
                    <m:r>
                      <m:t>e</m:t>
                    </m:r>
                    <m:r>
                      <m:t>m</m:t>
                    </m:r>
                    <m:sSub>
                      <m:e>
                        <m:r>
                          <m:t>p</m:t>
                        </m:r>
                      </m:e>
                      <m:sub>
                        <m:r>
                          <m:t>C</m:t>
                        </m:r>
                      </m:sub>
                    </m:sSub>
                  </m:e>
                </m:d>
              </m:oMath>
            </m:oMathPara>
          </w:p>
        </w:tc>
      </w:tr>
      <w:tr>
        <w:tc>
          <w:tcPr/>
          <w:p>
            <w:pPr>
              <w:pStyle w:val="Compact"/>
            </w:pPr>
          </w:p>
        </w:tc>
        <w:tc>
          <w:tcPr/>
          <w:p>
            <w:pPr>
              <w:pStyle w:val="Compact"/>
              <w:jc w:val="center"/>
            </w:pPr>
            <w:r>
              <w:t xml:space="preserve">B</w:t>
            </w:r>
          </w:p>
        </w:tc>
        <w:tc>
          <w:tcPr/>
          <w:p>
            <w:pPr>
              <w:pStyle w:val="Compact"/>
              <w:jc w:val="center"/>
            </w:pPr>
            <w:r>
              <w:t xml:space="preserve">Depth</w:t>
            </w:r>
          </w:p>
        </w:tc>
        <w:tc>
          <w:tcPr/>
          <w:p>
            <w:pPr>
              <w:pStyle w:val="Compact"/>
              <w:jc w:val="center"/>
            </w:pPr>
            <m:oMathPara>
              <m:oMathParaPr>
                <m:jc m:val="center"/>
              </m:oMathParaPr>
              <m:oMath>
                <m:r>
                  <m:t>d</m:t>
                </m:r>
                <m:r>
                  <m:t>e</m:t>
                </m:r>
                <m:r>
                  <m:t>p</m:t>
                </m:r>
                <m:r>
                  <m:t>t</m:t>
                </m:r>
                <m:sSub>
                  <m:e>
                    <m:r>
                      <m:t>h</m:t>
                    </m:r>
                  </m:e>
                  <m:sub>
                    <m:r>
                      <m:t>m</m:t>
                    </m:r>
                  </m:sub>
                </m:sSub>
                <m:r>
                  <m:rPr>
                    <m:sty m:val="p"/>
                  </m:rPr>
                  <m:t>=</m:t>
                </m:r>
                <m:r>
                  <m:t>0</m:t>
                </m:r>
                <m:r>
                  <m:rPr>
                    <m:sty m:val="p"/>
                  </m:rPr>
                  <m:t>−</m:t>
                </m:r>
                <m:r>
                  <m:t>0.5</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2.0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0.5</m:t>
                </m:r>
                <m:r>
                  <m:rPr>
                    <m:sty m:val="p"/>
                  </m:rPr>
                  <m:t>−</m:t>
                </m:r>
                <m:r>
                  <m:t>3</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3</m:t>
                </m:r>
                <m:r>
                  <m:rPr>
                    <m:sty m:val="p"/>
                  </m:rPr>
                  <m:t>−</m:t>
                </m:r>
                <m:r>
                  <m:t>5</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3</m:t>
                </m:r>
                <m:r>
                  <m:rPr>
                    <m:sty m:val="p"/>
                  </m:rPr>
                  <m:t>−</m:t>
                </m:r>
                <m:r>
                  <m:t>10</m:t>
                </m:r>
              </m:oMath>
            </m:oMathPara>
          </w:p>
        </w:tc>
        <w:tc>
          <w:tcPr/>
          <w:p>
            <w:pPr>
              <w:pStyle w:val="Compact"/>
              <w:jc w:val="center"/>
            </w:pPr>
            <w:r>
              <w:t xml:space="preserve">1</w:t>
            </w:r>
          </w:p>
        </w:tc>
        <w:tc>
          <w:tcPr/>
          <w:p>
            <w:pPr>
              <w:pStyle w:val="Compact"/>
              <w:jc w:val="center"/>
            </w:pPr>
            <m:oMathPara>
              <m:oMathParaPr>
                <m:jc m:val="center"/>
              </m:oMathParaPr>
              <m:oMath>
                <m:r>
                  <m:t>1.5</m:t>
                </m:r>
                <m:r>
                  <m:rPr>
                    <m:sty m:val="p"/>
                  </m:rPr>
                  <m:t>+</m:t>
                </m:r>
                <m:d>
                  <m:dPr>
                    <m:begChr m:val="("/>
                    <m:endChr m:val=")"/>
                    <m:sepChr m:val=""/>
                    <m:grow/>
                  </m:dPr>
                  <m:e>
                    <m:r>
                      <m:rPr>
                        <m:sty m:val="p"/>
                      </m:rPr>
                      <m:t>−</m:t>
                    </m:r>
                    <m:r>
                      <m:t>0.1</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10</m:t>
                </m:r>
                <m:r>
                  <m:rPr>
                    <m:sty m:val="p"/>
                  </m:rPr>
                  <m:t>−</m:t>
                </m:r>
                <m:r>
                  <m:t>20</m:t>
                </m:r>
              </m:oMath>
            </m:oMathPara>
          </w:p>
        </w:tc>
        <w:tc>
          <w:tcPr/>
          <w:p>
            <w:pPr>
              <w:pStyle w:val="Compact"/>
              <w:jc w:val="center"/>
            </w:pPr>
            <w:r>
              <w:t xml:space="preserve">0.5</w:t>
            </w:r>
          </w:p>
        </w:tc>
        <w:tc>
          <w:tcPr/>
          <w:p>
            <w:pPr>
              <w:pStyle w:val="Compact"/>
              <w:jc w:val="center"/>
            </w:pPr>
            <m:oMathPara>
              <m:oMathParaPr>
                <m:jc m:val="center"/>
              </m:oMathParaPr>
              <m:oMath>
                <m:r>
                  <m:t>0.9</m:t>
                </m:r>
                <m:r>
                  <m:rPr>
                    <m:sty m:val="p"/>
                  </m:rPr>
                  <m:t>+</m:t>
                </m:r>
                <m:d>
                  <m:dPr>
                    <m:begChr m:val="("/>
                    <m:endChr m:val=")"/>
                    <m:sepChr m:val=""/>
                    <m:grow/>
                  </m:dPr>
                  <m:e>
                    <m:r>
                      <m:rPr>
                        <m:sty m:val="p"/>
                      </m:rPr>
                      <m:t>−</m:t>
                    </m:r>
                    <m:r>
                      <m:t>0.04</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20</m:t>
                </m:r>
                <m:r>
                  <m:rPr>
                    <m:sty m:val="p"/>
                  </m:rPr>
                  <m:t>−</m:t>
                </m:r>
                <m:r>
                  <m:t>50</m:t>
                </m:r>
              </m:oMath>
            </m:oMathPara>
          </w:p>
        </w:tc>
        <w:tc>
          <w:tcPr/>
          <w:p>
            <w:pPr>
              <w:pStyle w:val="Compact"/>
              <w:jc w:val="center"/>
            </w:pPr>
            <w:r>
              <w:t xml:space="preserve">0.1</w:t>
            </w:r>
          </w:p>
        </w:tc>
        <w:tc>
          <w:tcPr/>
          <w:p>
            <w:pPr>
              <w:pStyle w:val="Compact"/>
              <w:jc w:val="center"/>
            </w:pPr>
            <m:oMathPara>
              <m:oMathParaPr>
                <m:jc m:val="center"/>
              </m:oMathParaPr>
              <m:oMath>
                <m:r>
                  <m:t>0.17</m:t>
                </m:r>
                <m:r>
                  <m:rPr>
                    <m:sty m:val="p"/>
                  </m:rPr>
                  <m:t>+</m:t>
                </m:r>
                <m:d>
                  <m:dPr>
                    <m:begChr m:val="("/>
                    <m:endChr m:val=")"/>
                    <m:sepChr m:val=""/>
                    <m:grow/>
                  </m:dPr>
                  <m:e>
                    <m:r>
                      <m:rPr>
                        <m:sty m:val="p"/>
                      </m:rPr>
                      <m:t>−</m:t>
                    </m:r>
                    <m:r>
                      <m:t>0.0033</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50</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jc w:val="center"/>
            </w:pPr>
            <w:r>
              <w:t xml:space="preserve">C</w:t>
            </w:r>
          </w:p>
        </w:tc>
        <w:tc>
          <w:tcPr/>
          <w:p>
            <w:pPr>
              <w:pStyle w:val="Compact"/>
              <w:jc w:val="center"/>
            </w:pPr>
            <w:r>
              <w:t xml:space="preserve">Salinity</w:t>
            </w:r>
          </w:p>
        </w:tc>
        <w:tc>
          <w:tcPr/>
          <w:p>
            <w:pPr>
              <w:pStyle w:val="Compact"/>
              <w:jc w:val="center"/>
            </w:pPr>
            <m:oMathPara>
              <m:oMathParaPr>
                <m:jc m:val="center"/>
              </m:oMathParaPr>
              <m:oMath>
                <m:r>
                  <m:t>s</m:t>
                </m:r>
                <m:r>
                  <m:t>a</m:t>
                </m:r>
                <m:sSub>
                  <m:e>
                    <m:r>
                      <m:t>l</m:t>
                    </m:r>
                  </m:e>
                  <m:sub>
                    <m:r>
                      <m:t>p</m:t>
                    </m:r>
                    <m:r>
                      <m:t>s</m:t>
                    </m:r>
                    <m:r>
                      <m:t>u</m:t>
                    </m:r>
                  </m:sub>
                </m:sSub>
                <m:r>
                  <m:rPr>
                    <m:sty m:val="p"/>
                  </m:rPr>
                  <m:t>=</m:t>
                </m:r>
                <m:r>
                  <m:t>0</m:t>
                </m:r>
                <m:r>
                  <m:rPr>
                    <m:sty m:val="p"/>
                  </m:rPr>
                  <m:t>−</m:t>
                </m:r>
                <m:r>
                  <m:t>0.5</m:t>
                </m:r>
              </m:oMath>
            </m:oMathPara>
          </w:p>
        </w:tc>
        <w:tc>
          <w:tcPr/>
          <w:p>
            <w:pPr>
              <w:pStyle w:val="Compact"/>
              <w:jc w:val="center"/>
            </w:pPr>
            <w:r>
              <w:t xml:space="preserve">0.5</w:t>
            </w:r>
          </w:p>
        </w:tc>
        <w:tc>
          <w:tcPr/>
          <w:p>
            <w:pPr>
              <w:pStyle w:val="Compact"/>
              <w:jc w:val="center"/>
            </w:pPr>
            <m:oMathPara>
              <m:oMathParaPr>
                <m:jc m:val="center"/>
              </m:oMathParaPr>
              <m:oMath>
                <m:r>
                  <m:t>0.5</m:t>
                </m:r>
                <m:r>
                  <m:rPr>
                    <m:sty m:val="p"/>
                  </m:rPr>
                  <m:t>+</m:t>
                </m:r>
                <m:d>
                  <m:dPr>
                    <m:begChr m:val="("/>
                    <m:endChr m:val=")"/>
                    <m:sepChr m:val=""/>
                    <m:grow/>
                  </m:dPr>
                  <m:e>
                    <m:r>
                      <m:t>1.0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0.5</m:t>
                </m:r>
                <m:r>
                  <m:rPr>
                    <m:sty m:val="p"/>
                  </m:rPr>
                  <m:t>−</m:t>
                </m:r>
                <m:r>
                  <m:t>5</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5</m:t>
                </m:r>
                <m:r>
                  <m:rPr>
                    <m:sty m:val="p"/>
                  </m:rPr>
                  <m:t>−</m:t>
                </m:r>
                <m:r>
                  <m:t>10</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10</m:t>
                </m:r>
                <m:r>
                  <m:rPr>
                    <m:sty m:val="p"/>
                  </m:rPr>
                  <m:t>−</m:t>
                </m:r>
                <m:r>
                  <m:t>15</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15</m:t>
                </m:r>
                <m:r>
                  <m:rPr>
                    <m:sty m:val="p"/>
                  </m:rPr>
                  <m:t>−</m:t>
                </m:r>
                <m:r>
                  <m:t>20</m:t>
                </m:r>
              </m:oMath>
            </m:oMathPara>
          </w:p>
        </w:tc>
        <w:tc>
          <w:tcPr/>
          <w:p>
            <w:pPr>
              <w:pStyle w:val="Compact"/>
              <w:jc w:val="center"/>
            </w:pPr>
            <w:r>
              <w:t xml:space="preserve">1</w:t>
            </w:r>
          </w:p>
        </w:tc>
        <w:tc>
          <w:tcPr/>
          <w:p>
            <w:pPr>
              <w:pStyle w:val="Compact"/>
              <w:jc w:val="center"/>
            </w:pPr>
            <m:oMathPara>
              <m:oMathParaPr>
                <m:jc m:val="center"/>
              </m:oMathParaPr>
              <m:oMath>
                <m:r>
                  <m:t>2.5</m:t>
                </m:r>
                <m:r>
                  <m:rPr>
                    <m:sty m:val="p"/>
                  </m:rPr>
                  <m:t>+</m:t>
                </m:r>
                <m:d>
                  <m:dPr>
                    <m:begChr m:val="("/>
                    <m:endChr m:val=")"/>
                    <m:sepChr m:val=""/>
                    <m:grow/>
                  </m:dPr>
                  <m:e>
                    <m:r>
                      <m:rPr>
                        <m:sty m:val="p"/>
                      </m:rPr>
                      <m:t>−</m:t>
                    </m:r>
                    <m:r>
                      <m:t>0.01</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20</m:t>
                </m:r>
                <m:r>
                  <m:rPr>
                    <m:sty m:val="p"/>
                  </m:rPr>
                  <m:t>−</m:t>
                </m:r>
                <m:r>
                  <m:t>25</m:t>
                </m:r>
              </m:oMath>
            </m:oMathPara>
          </w:p>
        </w:tc>
        <w:tc>
          <w:tcPr/>
          <w:p>
            <w:pPr>
              <w:pStyle w:val="Compact"/>
              <w:jc w:val="center"/>
            </w:pPr>
            <w:r>
              <w:t xml:space="preserve">0.5</w:t>
            </w:r>
          </w:p>
        </w:tc>
        <w:tc>
          <w:tcPr/>
          <w:p>
            <w:pPr>
              <w:pStyle w:val="Compact"/>
              <w:jc w:val="center"/>
            </w:pPr>
            <m:oMathPara>
              <m:oMathParaPr>
                <m:jc m:val="center"/>
              </m:oMathParaPr>
              <m:oMath>
                <m:r>
                  <m:t>1.3</m:t>
                </m:r>
                <m:r>
                  <m:rPr>
                    <m:sty m:val="p"/>
                  </m:rPr>
                  <m:t>+</m:t>
                </m:r>
                <m:d>
                  <m:dPr>
                    <m:begChr m:val="("/>
                    <m:endChr m:val=")"/>
                    <m:sepChr m:val=""/>
                    <m:grow/>
                  </m:dPr>
                  <m:e>
                    <m:r>
                      <m:rPr>
                        <m:sty m:val="p"/>
                      </m:rPr>
                      <m:t>−</m:t>
                    </m:r>
                    <m:r>
                      <m:t>0.04</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25</m:t>
                </m:r>
                <m:r>
                  <m:rPr>
                    <m:sty m:val="p"/>
                  </m:rPr>
                  <m:t>−</m:t>
                </m:r>
                <m:r>
                  <m:t>30</m:t>
                </m:r>
              </m:oMath>
            </m:oMathPara>
          </w:p>
        </w:tc>
        <w:tc>
          <w:tcPr/>
          <w:p>
            <w:pPr>
              <w:pStyle w:val="Compact"/>
              <w:jc w:val="center"/>
            </w:pPr>
            <w:r>
              <w:t xml:space="preserve">0.3</w:t>
            </w:r>
          </w:p>
        </w:tc>
        <w:tc>
          <w:tcPr/>
          <w:p>
            <w:pPr>
              <w:pStyle w:val="Compact"/>
              <w:jc w:val="center"/>
            </w:pPr>
            <m:oMathPara>
              <m:oMathParaPr>
                <m:jc m:val="center"/>
              </m:oMathParaPr>
              <m:oMath>
                <m:r>
                  <m:t>1.3</m:t>
                </m:r>
                <m:r>
                  <m:rPr>
                    <m:sty m:val="p"/>
                  </m:rPr>
                  <m:t>+</m:t>
                </m:r>
                <m:d>
                  <m:dPr>
                    <m:begChr m:val="("/>
                    <m:endChr m:val=")"/>
                    <m:sepChr m:val=""/>
                    <m:grow/>
                  </m:dPr>
                  <m:e>
                    <m:r>
                      <m:rPr>
                        <m:sty m:val="p"/>
                      </m:rPr>
                      <m:t>−</m:t>
                    </m:r>
                    <m:r>
                      <m:t>0.04</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30</m:t>
                </m:r>
                <m:r>
                  <m:rPr>
                    <m:sty m:val="p"/>
                  </m:rPr>
                  <m:t>−</m:t>
                </m:r>
                <m:r>
                  <m:t>35</m:t>
                </m:r>
              </m:oMath>
            </m:oMathPara>
          </w:p>
        </w:tc>
        <w:tc>
          <w:tcPr/>
          <w:p>
            <w:pPr>
              <w:pStyle w:val="Compact"/>
              <w:jc w:val="center"/>
            </w:pPr>
            <w:r>
              <w:t xml:space="preserve">0.1</w:t>
            </w:r>
          </w:p>
        </w:tc>
        <w:tc>
          <w:tcPr/>
          <w:p>
            <w:pPr>
              <w:pStyle w:val="Compact"/>
              <w:jc w:val="center"/>
            </w:pPr>
            <m:oMathPara>
              <m:oMathParaPr>
                <m:jc m:val="center"/>
              </m:oMathParaPr>
              <m:oMath>
                <m:r>
                  <m:t>0.7</m:t>
                </m:r>
                <m:r>
                  <m:rPr>
                    <m:sty m:val="p"/>
                  </m:rPr>
                  <m:t>+</m:t>
                </m:r>
                <m:d>
                  <m:dPr>
                    <m:begChr m:val="("/>
                    <m:endChr m:val=")"/>
                    <m:sepChr m:val=""/>
                    <m:grow/>
                  </m:dPr>
                  <m:e>
                    <m:r>
                      <m:rPr>
                        <m:sty m:val="p"/>
                      </m:rPr>
                      <m:t>−</m:t>
                    </m:r>
                    <m:r>
                      <m:t>0.02</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35</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jc w:val="center"/>
            </w:pPr>
            <w:r>
              <w:t xml:space="preserve">D</w:t>
            </w:r>
          </w:p>
        </w:tc>
        <w:tc>
          <w:tcPr/>
          <w:p>
            <w:pPr>
              <w:pStyle w:val="Compact"/>
              <w:jc w:val="center"/>
            </w:pPr>
            <w:r>
              <w:t xml:space="preserve">Flow Velocity</w:t>
            </w: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m:t>
                </m:r>
                <m:r>
                  <m:rPr>
                    <m:sty m:val="p"/>
                  </m:rPr>
                  <m:t>−</m:t>
                </m:r>
                <m:r>
                  <m:t>0.05</m:t>
                </m:r>
              </m:oMath>
            </m:oMathPara>
          </w:p>
        </w:tc>
        <w:tc>
          <w:tcPr/>
          <w:p>
            <w:pPr>
              <w:pStyle w:val="Compact"/>
              <w:jc w:val="center"/>
            </w:pPr>
            <w:r>
              <w:t xml:space="preserve">0.5</w:t>
            </w:r>
          </w:p>
        </w:tc>
        <w:tc>
          <w:tcPr/>
          <w:p>
            <w:pPr>
              <w:pStyle w:val="Compact"/>
              <w:jc w:val="center"/>
            </w:pPr>
            <m:oMathPara>
              <m:oMathParaPr>
                <m:jc m:val="center"/>
              </m:oMathParaPr>
              <m:oMath>
                <m:r>
                  <m:t>0.5</m:t>
                </m:r>
                <m:r>
                  <m:rPr>
                    <m:sty m:val="p"/>
                  </m:rPr>
                  <m:t>+</m:t>
                </m:r>
                <m:d>
                  <m:dPr>
                    <m:begChr m:val="("/>
                    <m:endChr m:val=")"/>
                    <m:sepChr m:val=""/>
                    <m:grow/>
                  </m:dPr>
                  <m:e>
                    <m:r>
                      <m:t>10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0.05</m:t>
                </m:r>
                <m:r>
                  <m:rPr>
                    <m:sty m:val="p"/>
                  </m:rPr>
                  <m:t>−</m:t>
                </m:r>
                <m:r>
                  <m:t>0.12</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0.12</m:t>
                </m:r>
                <m:r>
                  <m:rPr>
                    <m:sty m:val="p"/>
                  </m:rPr>
                  <m:t>−</m:t>
                </m:r>
                <m:r>
                  <m:t>0.17</m:t>
                </m:r>
              </m:oMath>
            </m:oMathPara>
          </w:p>
        </w:tc>
        <w:tc>
          <w:tcPr/>
          <w:p>
            <w:pPr>
              <w:pStyle w:val="Compact"/>
              <w:jc w:val="center"/>
            </w:pPr>
            <w:r>
              <w:t xml:space="preserve">1</w:t>
            </w:r>
          </w:p>
        </w:tc>
        <w:tc>
          <w:tcPr/>
          <w:p>
            <w:pPr>
              <w:pStyle w:val="Compact"/>
              <w:jc w:val="center"/>
            </w:pPr>
            <m:oMathPara>
              <m:oMathParaPr>
                <m:jc m:val="center"/>
              </m:oMathParaPr>
              <m:oMath>
                <m:r>
                  <m:t>1.72</m:t>
                </m:r>
                <m:r>
                  <m:rPr>
                    <m:sty m:val="p"/>
                  </m:rPr>
                  <m:t>+</m:t>
                </m:r>
                <m:d>
                  <m:dPr>
                    <m:begChr m:val="("/>
                    <m:endChr m:val=")"/>
                    <m:sepChr m:val=""/>
                    <m:grow/>
                  </m:dPr>
                  <m:e>
                    <m:r>
                      <m:rPr>
                        <m:sty m:val="p"/>
                      </m:rPr>
                      <m:t>−</m:t>
                    </m:r>
                    <m:r>
                      <m:t>6.0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0.17</m:t>
                </m:r>
                <m:r>
                  <m:rPr>
                    <m:sty m:val="p"/>
                  </m:rPr>
                  <m:t>−</m:t>
                </m:r>
                <m:r>
                  <m:t>0.3</m:t>
                </m:r>
              </m:oMath>
            </m:oMathPara>
          </w:p>
        </w:tc>
        <w:tc>
          <w:tcPr/>
          <w:p>
            <w:pPr>
              <w:pStyle w:val="Compact"/>
              <w:jc w:val="center"/>
            </w:pPr>
            <w:r>
              <w:t xml:space="preserve">0.7</w:t>
            </w:r>
          </w:p>
        </w:tc>
        <w:tc>
          <w:tcPr/>
          <w:p>
            <w:pPr>
              <w:pStyle w:val="Compact"/>
              <w:jc w:val="center"/>
            </w:pPr>
            <m:oMathPara>
              <m:oMathParaPr>
                <m:jc m:val="center"/>
              </m:oMathParaPr>
              <m:oMath>
                <m:r>
                  <m:t>0.96</m:t>
                </m:r>
                <m:r>
                  <m:rPr>
                    <m:sty m:val="p"/>
                  </m:rPr>
                  <m:t>+</m:t>
                </m:r>
                <m:d>
                  <m:dPr>
                    <m:begChr m:val="("/>
                    <m:endChr m:val=")"/>
                    <m:sepChr m:val=""/>
                    <m:grow/>
                  </m:dPr>
                  <m:e>
                    <m:r>
                      <m:rPr>
                        <m:sty m:val="p"/>
                      </m:rPr>
                      <m:t>−</m:t>
                    </m:r>
                    <m:r>
                      <m:t>1.5385</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0.3</m:t>
                </m:r>
                <m:r>
                  <m:rPr>
                    <m:sty m:val="p"/>
                  </m:rPr>
                  <m:t>−</m:t>
                </m:r>
                <m:r>
                  <m:t>0.5</m:t>
                </m:r>
              </m:oMath>
            </m:oMathPara>
          </w:p>
        </w:tc>
        <w:tc>
          <w:tcPr/>
          <w:p>
            <w:pPr>
              <w:pStyle w:val="Compact"/>
              <w:jc w:val="center"/>
            </w:pPr>
            <w:r>
              <w:t xml:space="preserve">0.5</w:t>
            </w:r>
          </w:p>
        </w:tc>
        <w:tc>
          <w:tcPr/>
          <w:p>
            <w:pPr>
              <w:pStyle w:val="Compact"/>
              <w:jc w:val="center"/>
            </w:pPr>
            <m:oMathPara>
              <m:oMathParaPr>
                <m:jc m:val="center"/>
              </m:oMathParaPr>
              <m:oMath>
                <m:r>
                  <m:t>0.8</m:t>
                </m:r>
                <m:r>
                  <m:rPr>
                    <m:sty m:val="p"/>
                  </m:rPr>
                  <m:t>+</m:t>
                </m:r>
                <m:d>
                  <m:dPr>
                    <m:begChr m:val="("/>
                    <m:endChr m:val=")"/>
                    <m:sepChr m:val=""/>
                    <m:grow/>
                  </m:dPr>
                  <m:e>
                    <m:r>
                      <m:rPr>
                        <m:sty m:val="p"/>
                      </m:rPr>
                      <m:t>−</m:t>
                    </m:r>
                    <m:r>
                      <m:t>1.0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0.5</m:t>
                </m:r>
                <m:r>
                  <m:rPr>
                    <m:sty m:val="p"/>
                  </m:rPr>
                  <m:t>−</m:t>
                </m:r>
                <m:r>
                  <m:t>1.0</m:t>
                </m:r>
              </m:oMath>
            </m:oMathPara>
          </w:p>
        </w:tc>
        <w:tc>
          <w:tcPr/>
          <w:p>
            <w:pPr>
              <w:pStyle w:val="Compact"/>
              <w:jc w:val="center"/>
            </w:pPr>
            <w:r>
              <w:t xml:space="preserve">0.3</w:t>
            </w:r>
          </w:p>
        </w:tc>
        <w:tc>
          <w:tcPr/>
          <w:p>
            <w:pPr>
              <w:pStyle w:val="Compact"/>
              <w:jc w:val="center"/>
            </w:pPr>
            <m:oMathPara>
              <m:oMathParaPr>
                <m:jc m:val="center"/>
              </m:oMathParaPr>
              <m:oMath>
                <m:r>
                  <m:t>0.5</m:t>
                </m:r>
                <m:r>
                  <m:rPr>
                    <m:sty m:val="p"/>
                  </m:rPr>
                  <m:t>+</m:t>
                </m:r>
                <m:d>
                  <m:dPr>
                    <m:begChr m:val="("/>
                    <m:endChr m:val=")"/>
                    <m:sepChr m:val=""/>
                    <m:grow/>
                  </m:dPr>
                  <m:e>
                    <m:r>
                      <m:rPr>
                        <m:sty m:val="p"/>
                      </m:rPr>
                      <m:t>−</m:t>
                    </m:r>
                    <m:r>
                      <m:t>0.4</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1.0</m:t>
                </m:r>
                <m:r>
                  <m:rPr>
                    <m:sty m:val="p"/>
                  </m:rPr>
                  <m:t>−</m:t>
                </m:r>
                <m:r>
                  <m:t>1.5</m:t>
                </m:r>
              </m:oMath>
            </m:oMathPara>
          </w:p>
        </w:tc>
        <w:tc>
          <w:tcPr/>
          <w:p>
            <w:pPr>
              <w:pStyle w:val="Compact"/>
              <w:jc w:val="center"/>
            </w:pPr>
            <w:r>
              <w:t xml:space="preserve">0.1</w:t>
            </w:r>
          </w:p>
        </w:tc>
        <w:tc>
          <w:tcPr/>
          <w:p>
            <w:pPr>
              <w:pStyle w:val="Compact"/>
              <w:jc w:val="center"/>
            </w:pPr>
            <m:oMathPara>
              <m:oMathParaPr>
                <m:jc m:val="center"/>
              </m:oMathParaPr>
              <m:oMath>
                <m:r>
                  <m:t>0.3</m:t>
                </m:r>
                <m:r>
                  <m:rPr>
                    <m:sty m:val="p"/>
                  </m:rPr>
                  <m:t>+</m:t>
                </m:r>
                <m:d>
                  <m:dPr>
                    <m:begChr m:val="("/>
                    <m:endChr m:val=")"/>
                    <m:sepChr m:val=""/>
                    <m:grow/>
                  </m:dPr>
                  <m:e>
                    <m:r>
                      <m:rPr>
                        <m:sty m:val="p"/>
                      </m:rPr>
                      <m:t>−</m:t>
                    </m:r>
                    <m:r>
                      <m:t>0.2</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1.5</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jc w:val="center"/>
            </w:pPr>
            <w:r>
              <w:t xml:space="preserve">E</w:t>
            </w:r>
          </w:p>
        </w:tc>
        <w:tc>
          <w:tcPr/>
          <w:p>
            <w:pPr>
              <w:pStyle w:val="Compact"/>
              <w:jc w:val="center"/>
            </w:pPr>
            <w:r>
              <w:t xml:space="preserve">Substrate</w:t>
            </w:r>
          </w:p>
        </w:tc>
        <w:tc>
          <w:tcPr/>
          <w:p>
            <w:pPr>
              <w:pStyle w:val="Compact"/>
              <w:jc w:val="center"/>
            </w:pPr>
            <w:r>
              <w:t xml:space="preserve">soft substrate</w:t>
            </w:r>
          </w:p>
        </w:tc>
        <w:tc>
          <w:tcPr/>
          <w:p>
            <w:pPr>
              <w:pStyle w:val="Compact"/>
              <w:jc w:val="center"/>
            </w:pPr>
            <w:r>
              <w:t xml:space="preserve">0.5</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hard substrate</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present SAV</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absent SAV</w:t>
            </w:r>
          </w:p>
        </w:tc>
        <w:tc>
          <w:tcPr/>
          <w:p>
            <w:pPr>
              <w:pStyle w:val="Compact"/>
              <w:jc w:val="center"/>
            </w:pPr>
            <w:r>
              <w:t xml:space="preserve">0.5</w:t>
            </w:r>
          </w:p>
        </w:tc>
        <w:tc>
          <w:tcPr/>
          <w:p>
            <w:pPr>
              <w:pStyle w:val="Compact"/>
              <w:jc w:val="center"/>
            </w:pPr>
            <w:r>
              <w:t xml:space="preserve">NA</w:t>
            </w:r>
          </w:p>
        </w:tc>
      </w:tr>
    </w:tbl>
    <w:bookmarkEnd w:id="32"/>
    <w:bookmarkEnd w:id="33"/>
    <w:bookmarkStart w:id="116" w:name="references"/>
    <w:p>
      <w:pPr>
        <w:pStyle w:val="Heading2"/>
      </w:pPr>
      <w:r>
        <w:t xml:space="preserve">References</w:t>
      </w:r>
    </w:p>
    <w:bookmarkStart w:id="115" w:name="refs"/>
    <w:bookmarkStart w:id="35" w:name="ref-able_alewife_2020"/>
    <w:p>
      <w:pPr>
        <w:pStyle w:val="Bibliography"/>
      </w:pPr>
      <w:r>
        <w:t xml:space="preserve">Able, K. W., T. M. Grothues, M. J. Shaw, S. M. VanMorter, M. C. Sullivan, and D. D. Ambrose. 2020.</w:t>
      </w:r>
      <w:r>
        <w:t xml:space="preserve"> </w:t>
      </w:r>
      <w:r>
        <w:t xml:space="preserve">“Alewife (</w:t>
      </w:r>
      <w:r>
        <w:t xml:space="preserve">Alosa</w:t>
      </w:r>
      <w:r>
        <w:t xml:space="preserve"> </w:t>
      </w:r>
      <w:r>
        <w:t xml:space="preserve">Pseudoharengus) Spawning and Nursery Areas in a Sentinel Estuary: Spatial and Temporal Patterns.”</w:t>
      </w:r>
      <w:r>
        <w:t xml:space="preserve"> </w:t>
      </w:r>
      <w:r>
        <w:rPr>
          <w:iCs/>
          <w:i/>
        </w:rPr>
        <w:t xml:space="preserve">Environmental Biology of Fishes</w:t>
      </w:r>
      <w:r>
        <w:t xml:space="preserve"> </w:t>
      </w:r>
      <w:r>
        <w:t xml:space="preserve">103 (11): 1419–36.</w:t>
      </w:r>
      <w:r>
        <w:t xml:space="preserve"> </w:t>
      </w:r>
      <w:hyperlink r:id="rId34">
        <w:r>
          <w:rPr>
            <w:rStyle w:val="Hyperlink"/>
          </w:rPr>
          <w:t xml:space="preserve">https://doi.org/10.1007/s10641-020-01032-0</w:t>
        </w:r>
      </w:hyperlink>
      <w:r>
        <w:t xml:space="preserve">.</w:t>
      </w:r>
    </w:p>
    <w:bookmarkEnd w:id="35"/>
    <w:bookmarkStart w:id="36" w:name="ref-asmfc_fishery_1985"/>
    <w:p>
      <w:pPr>
        <w:pStyle w:val="Bibliography"/>
      </w:pPr>
      <w:r>
        <w:t xml:space="preserve">ASMFC. 1985.</w:t>
      </w:r>
      <w:r>
        <w:t xml:space="preserve"> </w:t>
      </w:r>
      <w:r>
        <w:t xml:space="preserve">“Fishery</w:t>
      </w:r>
      <w:r>
        <w:t xml:space="preserve"> </w:t>
      </w:r>
      <w:r>
        <w:t xml:space="preserve">Management</w:t>
      </w:r>
      <w:r>
        <w:t xml:space="preserve"> </w:t>
      </w:r>
      <w:r>
        <w:t xml:space="preserve">Plan</w:t>
      </w:r>
      <w:r>
        <w:t xml:space="preserve"> </w:t>
      </w:r>
      <w:r>
        <w:t xml:space="preserve">for</w:t>
      </w:r>
      <w:r>
        <w:t xml:space="preserve"> </w:t>
      </w:r>
      <w:r>
        <w:t xml:space="preserve">American</w:t>
      </w:r>
      <w:r>
        <w:t xml:space="preserve"> </w:t>
      </w:r>
      <w:r>
        <w:t xml:space="preserve">Shad</w:t>
      </w:r>
      <w:r>
        <w:t xml:space="preserve"> </w:t>
      </w:r>
      <w:r>
        <w:t xml:space="preserve">and</w:t>
      </w:r>
      <w:r>
        <w:t xml:space="preserve"> </w:t>
      </w:r>
      <w:r>
        <w:t xml:space="preserve">River</w:t>
      </w:r>
      <w:r>
        <w:t xml:space="preserve"> </w:t>
      </w:r>
      <w:r>
        <w:t xml:space="preserve">Herrings</w:t>
      </w:r>
      <w:r>
        <w:t xml:space="preserve">.”</w:t>
      </w:r>
      <w:r>
        <w:t xml:space="preserve"> </w:t>
      </w:r>
      <w:r>
        <w:t xml:space="preserve">Fisheries {Management} {Report} 6. Washington, D. C. 20036: Atlantic States Marine Fisheries Commission.</w:t>
      </w:r>
    </w:p>
    <w:bookmarkEnd w:id="36"/>
    <w:bookmarkStart w:id="37" w:name="ref-asmfc_amendment_2009"/>
    <w:p>
      <w:pPr>
        <w:pStyle w:val="Bibliography"/>
      </w:pPr>
      <w:r>
        <w:t xml:space="preserve">———. 2009.</w:t>
      </w:r>
      <w:r>
        <w:t xml:space="preserve"> </w:t>
      </w:r>
      <w:r>
        <w:t xml:space="preserve">“</w:t>
      </w:r>
      <w:r>
        <w:t xml:space="preserve">AMENDMENT</w:t>
      </w:r>
      <w:r>
        <w:t xml:space="preserve"> </w:t>
      </w:r>
      <w:r>
        <w:t xml:space="preserve">2 to the</w:t>
      </w:r>
      <w:r>
        <w:t xml:space="preserve"> </w:t>
      </w:r>
      <w:r>
        <w:t xml:space="preserve">Interstate</w:t>
      </w:r>
      <w:r>
        <w:t xml:space="preserve"> </w:t>
      </w:r>
      <w:r>
        <w:t xml:space="preserve">Fishery</w:t>
      </w:r>
      <w:r>
        <w:t xml:space="preserve"> </w:t>
      </w:r>
      <w:r>
        <w:t xml:space="preserve">Management</w:t>
      </w:r>
      <w:r>
        <w:t xml:space="preserve"> </w:t>
      </w:r>
      <w:r>
        <w:t xml:space="preserve">Plan</w:t>
      </w:r>
      <w:r>
        <w:t xml:space="preserve"> </w:t>
      </w:r>
      <w:r>
        <w:t xml:space="preserve">for</w:t>
      </w:r>
      <w:r>
        <w:t xml:space="preserve"> </w:t>
      </w:r>
      <w:r>
        <w:t xml:space="preserve">SHAD</w:t>
      </w:r>
      <w:r>
        <w:t xml:space="preserve"> </w:t>
      </w:r>
      <w:r>
        <w:t xml:space="preserve">AND</w:t>
      </w:r>
      <w:r>
        <w:t xml:space="preserve"> </w:t>
      </w:r>
      <w:r>
        <w:t xml:space="preserve">RIVER</w:t>
      </w:r>
      <w:r>
        <w:t xml:space="preserve"> </w:t>
      </w:r>
      <w:r>
        <w:t xml:space="preserve">HERRING</w:t>
      </w:r>
      <w:r>
        <w:t xml:space="preserve"> </w:t>
      </w:r>
      <w:r>
        <w:t xml:space="preserve">(</w:t>
      </w:r>
      <w:r>
        <w:t xml:space="preserve">River</w:t>
      </w:r>
      <w:r>
        <w:t xml:space="preserve"> </w:t>
      </w:r>
      <w:r>
        <w:t xml:space="preserve">Herring</w:t>
      </w:r>
      <w:r>
        <w:t xml:space="preserve"> </w:t>
      </w:r>
      <w:r>
        <w:t xml:space="preserve">Management</w:t>
      </w:r>
      <w:r>
        <w:t xml:space="preserve">).”</w:t>
      </w:r>
      <w:r>
        <w:t xml:space="preserve"> </w:t>
      </w:r>
      <w:r>
        <w:t xml:space="preserve">Fisheries {Management} {Report} 35. Washington, D. C. 20036: Atlantic States Marine Fisheries Commission.</w:t>
      </w:r>
    </w:p>
    <w:bookmarkEnd w:id="37"/>
    <w:bookmarkStart w:id="38" w:name="ref-asmfc_river_2017"/>
    <w:p>
      <w:pPr>
        <w:pStyle w:val="Bibliography"/>
      </w:pPr>
      <w:r>
        <w:t xml:space="preserve">———. 2017.</w:t>
      </w:r>
      <w:r>
        <w:t xml:space="preserve"> </w:t>
      </w:r>
      <w:r>
        <w:t xml:space="preserve">“River</w:t>
      </w:r>
      <w:r>
        <w:t xml:space="preserve"> </w:t>
      </w:r>
      <w:r>
        <w:t xml:space="preserve">Herring</w:t>
      </w:r>
      <w:r>
        <w:t xml:space="preserve"> </w:t>
      </w:r>
      <w:r>
        <w:t xml:space="preserve">Stock</w:t>
      </w:r>
      <w:r>
        <w:t xml:space="preserve"> </w:t>
      </w:r>
      <w:r>
        <w:t xml:space="preserve">Assessment</w:t>
      </w:r>
      <w:r>
        <w:t xml:space="preserve"> </w:t>
      </w:r>
      <w:r>
        <w:t xml:space="preserve">Update</w:t>
      </w:r>
      <w:r>
        <w:t xml:space="preserve"> </w:t>
      </w:r>
      <w:r>
        <w:t xml:space="preserve">Volume</w:t>
      </w:r>
      <w:r>
        <w:t xml:space="preserve"> </w:t>
      </w:r>
      <w:r>
        <w:t xml:space="preserve">I</w:t>
      </w:r>
      <w:r>
        <w:t xml:space="preserve">:</w:t>
      </w:r>
      <w:r>
        <w:t xml:space="preserve"> </w:t>
      </w:r>
      <w:r>
        <w:t xml:space="preserve">Coastwide</w:t>
      </w:r>
      <w:r>
        <w:t xml:space="preserve"> </w:t>
      </w:r>
      <w:r>
        <w:t xml:space="preserve">Summary</w:t>
      </w:r>
      <w:r>
        <w:t xml:space="preserve">.”</w:t>
      </w:r>
      <w:r>
        <w:t xml:space="preserve"> </w:t>
      </w:r>
      <w:r>
        <w:t xml:space="preserve">Stock {Assessment} {Report} 12-02. Washington, D. C.: Atlantic States Marine Fisheries Commission.</w:t>
      </w:r>
    </w:p>
    <w:bookmarkEnd w:id="38"/>
    <w:bookmarkStart w:id="40" w:name="ref-bethoney_environmental_2014"/>
    <w:p>
      <w:pPr>
        <w:pStyle w:val="Bibliography"/>
      </w:pPr>
      <w:r>
        <w:t xml:space="preserve">Bethoney, N. David, Kevin D. E. Stokesbury, and Steven X. Cadrin. 2014.</w:t>
      </w:r>
      <w:r>
        <w:t xml:space="preserve"> </w:t>
      </w:r>
      <w:r>
        <w:t xml:space="preserve">“Environmental Links to Alosine at-Sea Distribution and Bycatch in the</w:t>
      </w:r>
      <w:r>
        <w:t xml:space="preserve"> </w:t>
      </w:r>
      <w:r>
        <w:t xml:space="preserve">Northwest</w:t>
      </w:r>
      <w:r>
        <w:t xml:space="preserve"> </w:t>
      </w:r>
      <w:r>
        <w:t xml:space="preserve">Atlantic</w:t>
      </w:r>
      <w:r>
        <w:t xml:space="preserve"> </w:t>
      </w:r>
      <w:r>
        <w:t xml:space="preserve">Midwater Trawl Fishery.”</w:t>
      </w:r>
      <w:r>
        <w:t xml:space="preserve"> </w:t>
      </w:r>
      <w:r>
        <w:rPr>
          <w:iCs/>
          <w:i/>
        </w:rPr>
        <w:t xml:space="preserve">ICES Journal of Marine Science</w:t>
      </w:r>
      <w:r>
        <w:t xml:space="preserve"> </w:t>
      </w:r>
      <w:r>
        <w:t xml:space="preserve">71 (5): 1246–55.</w:t>
      </w:r>
      <w:r>
        <w:t xml:space="preserve"> </w:t>
      </w:r>
      <w:hyperlink r:id="rId39">
        <w:r>
          <w:rPr>
            <w:rStyle w:val="Hyperlink"/>
          </w:rPr>
          <w:t xml:space="preserve">https://doi.org/10.1093/icesjms/fst013</w:t>
        </w:r>
      </w:hyperlink>
      <w:r>
        <w:t xml:space="preserve">.</w:t>
      </w:r>
    </w:p>
    <w:bookmarkEnd w:id="40"/>
    <w:bookmarkStart w:id="41" w:name="ref-bigelow_bigelow_2002"/>
    <w:p>
      <w:pPr>
        <w:pStyle w:val="Bibliography"/>
      </w:pPr>
      <w:r>
        <w:t xml:space="preserve">Bigelow, Andrew Frank, William C. Schroeder, Bruce B. Collette, Grace Klein-MacPhee, and Henry Bryant Bigelow. 2002.</w:t>
      </w:r>
      <w:r>
        <w:t xml:space="preserve"> </w:t>
      </w:r>
      <w:r>
        <w:rPr>
          <w:iCs/>
          <w:i/>
        </w:rPr>
        <w:t xml:space="preserve">Bigelow and</w:t>
      </w:r>
      <w:r>
        <w:rPr>
          <w:iCs/>
          <w:i/>
        </w:rPr>
        <w:t xml:space="preserve"> </w:t>
      </w:r>
      <w:r>
        <w:rPr>
          <w:iCs/>
          <w:i/>
        </w:rPr>
        <w:t xml:space="preserve">Schroeder</w:t>
      </w:r>
      <w:r>
        <w:rPr>
          <w:iCs/>
          <w:i/>
        </w:rPr>
        <w:t xml:space="preserve">’s Fishes of the</w:t>
      </w:r>
      <w:r>
        <w:rPr>
          <w:iCs/>
          <w:i/>
        </w:rPr>
        <w:t xml:space="preserve"> </w:t>
      </w:r>
      <w:r>
        <w:rPr>
          <w:iCs/>
          <w:i/>
        </w:rPr>
        <w:t xml:space="preserve">Gulf</w:t>
      </w:r>
      <w:r>
        <w:rPr>
          <w:iCs/>
          <w:i/>
        </w:rPr>
        <w:t xml:space="preserve"> </w:t>
      </w:r>
      <w:r>
        <w:rPr>
          <w:iCs/>
          <w:i/>
        </w:rPr>
        <w:t xml:space="preserve">of</w:t>
      </w:r>
      <w:r>
        <w:rPr>
          <w:iCs/>
          <w:i/>
        </w:rPr>
        <w:t xml:space="preserve"> </w:t>
      </w:r>
      <w:r>
        <w:rPr>
          <w:iCs/>
          <w:i/>
        </w:rPr>
        <w:t xml:space="preserve">Maine</w:t>
      </w:r>
      <w:r>
        <w:t xml:space="preserve">. 3rd ed. Washington, DC: Smithsonian Institution Press.</w:t>
      </w:r>
    </w:p>
    <w:bookmarkEnd w:id="41"/>
    <w:bookmarkStart w:id="43" w:name="ref-bigelow_fishes_1953"/>
    <w:p>
      <w:pPr>
        <w:pStyle w:val="Bibliography"/>
      </w:pPr>
      <w:r>
        <w:t xml:space="preserve">Bigelow, Henry Bryant, and William Schroeder. 1953.</w:t>
      </w:r>
      <w:r>
        <w:t xml:space="preserve"> </w:t>
      </w:r>
      <w:r>
        <w:rPr>
          <w:iCs/>
          <w:i/>
        </w:rPr>
        <w:t xml:space="preserve">Fishes of the</w:t>
      </w:r>
      <w:r>
        <w:rPr>
          <w:iCs/>
          <w:i/>
        </w:rPr>
        <w:t xml:space="preserve"> </w:t>
      </w:r>
      <w:r>
        <w:rPr>
          <w:iCs/>
          <w:i/>
        </w:rPr>
        <w:t xml:space="preserve">Gulf</w:t>
      </w:r>
      <w:r>
        <w:rPr>
          <w:iCs/>
          <w:i/>
        </w:rPr>
        <w:t xml:space="preserve"> </w:t>
      </w:r>
      <w:r>
        <w:rPr>
          <w:iCs/>
          <w:i/>
        </w:rPr>
        <w:t xml:space="preserve">of</w:t>
      </w:r>
      <w:r>
        <w:rPr>
          <w:iCs/>
          <w:i/>
        </w:rPr>
        <w:t xml:space="preserve"> </w:t>
      </w:r>
      <w:r>
        <w:rPr>
          <w:iCs/>
          <w:i/>
        </w:rPr>
        <w:t xml:space="preserve">Maine</w:t>
      </w:r>
      <w:r>
        <w:t xml:space="preserve">. 7135th Series. Fish Bulletin.</w:t>
      </w:r>
      <w:r>
        <w:t xml:space="preserve"> </w:t>
      </w:r>
      <w:hyperlink r:id="rId42">
        <w:r>
          <w:rPr>
            <w:rStyle w:val="Hyperlink"/>
          </w:rPr>
          <w:t xml:space="preserve">http://www.gma.org/fogm/</w:t>
        </w:r>
      </w:hyperlink>
      <w:r>
        <w:t xml:space="preserve">.</w:t>
      </w:r>
    </w:p>
    <w:bookmarkEnd w:id="43"/>
    <w:bookmarkStart w:id="44" w:name="ref-brady_part_2005"/>
    <w:p>
      <w:pPr>
        <w:pStyle w:val="Bibliography"/>
      </w:pPr>
      <w:r>
        <w:t xml:space="preserve">Brady, P. D., Kenneth E. Reback, Katherine D. McLaughlin, and Cheryl Milliken. 2005.</w:t>
      </w:r>
      <w:r>
        <w:t xml:space="preserve"> </w:t>
      </w:r>
      <w:r>
        <w:t xml:space="preserve">“Part 4.</w:t>
      </w:r>
      <w:r>
        <w:t xml:space="preserve"> </w:t>
      </w:r>
      <w:r>
        <w:t xml:space="preserve">Boston</w:t>
      </w:r>
      <w:r>
        <w:t xml:space="preserve"> </w:t>
      </w:r>
      <w:r>
        <w:t xml:space="preserve">Harbor</w:t>
      </w:r>
      <w:r>
        <w:t xml:space="preserve">,</w:t>
      </w:r>
      <w:r>
        <w:t xml:space="preserve"> </w:t>
      </w:r>
      <w:r>
        <w:t xml:space="preserve">North</w:t>
      </w:r>
      <w:r>
        <w:t xml:space="preserve"> </w:t>
      </w:r>
      <w:r>
        <w:t xml:space="preserve">Shore</w:t>
      </w:r>
      <w:r>
        <w:t xml:space="preserve">, and</w:t>
      </w:r>
      <w:r>
        <w:t xml:space="preserve"> </w:t>
      </w:r>
      <w:r>
        <w:t xml:space="preserve">Merrimack</w:t>
      </w:r>
      <w:r>
        <w:t xml:space="preserve"> </w:t>
      </w:r>
      <w:r>
        <w:t xml:space="preserve">River</w:t>
      </w:r>
      <w:r>
        <w:t xml:space="preserve">.”</w:t>
      </w:r>
      <w:r>
        <w:t xml:space="preserve"> </w:t>
      </w:r>
      <w:r>
        <w:t xml:space="preserve">Technical {Report}. Pocasset, MA: Massachusetts Division of Marine Fisheries.</w:t>
      </w:r>
    </w:p>
    <w:bookmarkEnd w:id="44"/>
    <w:bookmarkStart w:id="46" w:name="ref-brown_habitat_2000"/>
    <w:p>
      <w:pPr>
        <w:pStyle w:val="Bibliography"/>
      </w:pPr>
      <w:r>
        <w:t xml:space="preserve">Brown, Stephen K., Kenneth R. Buja, Steven H. Jury, Mark E. Monaco, and Arnold Banner. 2000.</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for</w:t>
      </w:r>
      <w:r>
        <w:t xml:space="preserve"> </w:t>
      </w:r>
      <w:r>
        <w:t xml:space="preserve">Eight</w:t>
      </w:r>
      <w:r>
        <w:t xml:space="preserve"> </w:t>
      </w:r>
      <w:r>
        <w:t xml:space="preserve">Fish</w:t>
      </w:r>
      <w:r>
        <w:t xml:space="preserve"> </w:t>
      </w:r>
      <w:r>
        <w:t xml:space="preserve">and</w:t>
      </w:r>
      <w:r>
        <w:t xml:space="preserve"> </w:t>
      </w:r>
      <w:r>
        <w:t xml:space="preserve">Invertebrate</w:t>
      </w:r>
      <w:r>
        <w:t xml:space="preserve"> </w:t>
      </w:r>
      <w:r>
        <w:t xml:space="preserve">Species</w:t>
      </w:r>
      <w:r>
        <w:t xml:space="preserve"> </w:t>
      </w:r>
      <w:r>
        <w:t xml:space="preserve">in</w:t>
      </w:r>
      <w:r>
        <w:t xml:space="preserve"> </w:t>
      </w:r>
      <w:r>
        <w:t xml:space="preserve">Casco</w:t>
      </w:r>
      <w:r>
        <w:t xml:space="preserve"> </w:t>
      </w:r>
      <w:r>
        <w:t xml:space="preserve">and</w:t>
      </w:r>
      <w:r>
        <w:t xml:space="preserve"> </w:t>
      </w:r>
      <w:r>
        <w:t xml:space="preserve">Sheepscot</w:t>
      </w:r>
      <w:r>
        <w:t xml:space="preserve"> </w:t>
      </w:r>
      <w:r>
        <w:t xml:space="preserve">Bays</w:t>
      </w:r>
      <w:r>
        <w:t xml:space="preserve">,</w:t>
      </w:r>
      <w:r>
        <w:t xml:space="preserve"> </w:t>
      </w:r>
      <w:r>
        <w:t xml:space="preserve">Maine</w:t>
      </w:r>
      <w:r>
        <w:t xml:space="preserve">.”</w:t>
      </w:r>
      <w:r>
        <w:t xml:space="preserve"> </w:t>
      </w:r>
      <w:r>
        <w:rPr>
          <w:iCs/>
          <w:i/>
        </w:rPr>
        <w:t xml:space="preserve">North American Journal of Fisheries Management</w:t>
      </w:r>
      <w:r>
        <w:t xml:space="preserve"> </w:t>
      </w:r>
      <w:r>
        <w:t xml:space="preserve">20 (2): 408–35.</w:t>
      </w:r>
      <w:r>
        <w:t xml:space="preserve"> </w:t>
      </w:r>
      <w:hyperlink r:id="rId45">
        <w:r>
          <w:rPr>
            <w:rStyle w:val="Hyperlink"/>
          </w:rPr>
          <w:t xml:space="preserve">https://doi.org/10.1577/1548-8675(2000)020&lt;0408:HSIMFE&gt;2.3.CO;2</w:t>
        </w:r>
      </w:hyperlink>
      <w:r>
        <w:t xml:space="preserve">.</w:t>
      </w:r>
    </w:p>
    <w:bookmarkEnd w:id="46"/>
    <w:bookmarkStart w:id="48" w:name="ref-collette_fishes_2003"/>
    <w:p>
      <w:pPr>
        <w:pStyle w:val="Bibliography"/>
      </w:pPr>
      <w:r>
        <w:t xml:space="preserve">Collette, Bruce, and Grace Klein-MacPhee. 2003.</w:t>
      </w:r>
      <w:r>
        <w:t xml:space="preserve"> </w:t>
      </w:r>
      <w:r>
        <w:t xml:space="preserve">“Fishes of the</w:t>
      </w:r>
      <w:r>
        <w:t xml:space="preserve"> </w:t>
      </w:r>
      <w:r>
        <w:t xml:space="preserve">Gulf</w:t>
      </w:r>
      <w:r>
        <w:t xml:space="preserve"> </w:t>
      </w:r>
      <w:r>
        <w:t xml:space="preserve">of</w:t>
      </w:r>
      <w:r>
        <w:t xml:space="preserve"> </w:t>
      </w:r>
      <w:r>
        <w:t xml:space="preserve">Maine</w:t>
      </w:r>
      <w:r>
        <w:t xml:space="preserve"> </w:t>
      </w:r>
      <w:r>
        <w:t xml:space="preserve">for the 21st</w:t>
      </w:r>
      <w:r>
        <w:t xml:space="preserve"> </w:t>
      </w:r>
      <w:r>
        <w:t xml:space="preserve">Century</w:t>
      </w:r>
      <w:r>
        <w:t xml:space="preserve">:</w:t>
      </w:r>
      <w:r>
        <w:t xml:space="preserve"> </w:t>
      </w:r>
      <w:r>
        <w:t xml:space="preserve">A</w:t>
      </w:r>
      <w:r>
        <w:t xml:space="preserve"> </w:t>
      </w:r>
      <w:r>
        <w:t xml:space="preserve">Look</w:t>
      </w:r>
      <w:r>
        <w:t xml:space="preserve"> </w:t>
      </w:r>
      <w:r>
        <w:t xml:space="preserve">at the</w:t>
      </w:r>
      <w:r>
        <w:t xml:space="preserve"> </w:t>
      </w:r>
      <w:r>
        <w:t xml:space="preserve">New</w:t>
      </w:r>
      <w:r>
        <w:t xml:space="preserve"> </w:t>
      </w:r>
      <w:r>
        <w:t xml:space="preserve">Bigelow</w:t>
      </w:r>
      <w:r>
        <w:t xml:space="preserve"> </w:t>
      </w:r>
      <w:r>
        <w:t xml:space="preserve">and</w:t>
      </w:r>
      <w:r>
        <w:t xml:space="preserve"> </w:t>
      </w:r>
      <w:r>
        <w:t xml:space="preserve">Schroeder</w:t>
      </w:r>
      <w:r>
        <w:t xml:space="preserve">.”</w:t>
      </w:r>
      <w:r>
        <w:t xml:space="preserve"> </w:t>
      </w:r>
      <w:r>
        <w:rPr>
          <w:iCs/>
          <w:i/>
        </w:rPr>
        <w:t xml:space="preserve">BioScience</w:t>
      </w:r>
      <w:r>
        <w:t xml:space="preserve"> </w:t>
      </w:r>
      <w:r>
        <w:t xml:space="preserve">53 (8): 772.</w:t>
      </w:r>
      <w:r>
        <w:t xml:space="preserve"> </w:t>
      </w:r>
      <w:hyperlink r:id="rId47">
        <w:r>
          <w:rPr>
            <w:rStyle w:val="Hyperlink"/>
          </w:rPr>
          <w:t xml:space="preserve">https://doi.org/10.1641/0006-3568(2003)053[0772:FOTGOM]2.0.CO;2</w:t>
        </w:r>
      </w:hyperlink>
      <w:r>
        <w:t xml:space="preserve">.</w:t>
      </w:r>
    </w:p>
    <w:bookmarkEnd w:id="48"/>
    <w:bookmarkStart w:id="50" w:name="ref-dimaggio_spawning_2015"/>
    <w:p>
      <w:pPr>
        <w:pStyle w:val="Bibliography"/>
      </w:pPr>
      <w:r>
        <w:t xml:space="preserve">DiMaggio, Matthew A., Harvey J. Pine, Linas W. Kenter, and David L. Berlinsky. 2015.</w:t>
      </w:r>
      <w:r>
        <w:t xml:space="preserve"> </w:t>
      </w:r>
      <w:r>
        <w:t xml:space="preserve">“Spawning,</w:t>
      </w:r>
      <w:r>
        <w:t xml:space="preserve"> </w:t>
      </w:r>
      <w:r>
        <w:t xml:space="preserve">Larviculture</w:t>
      </w:r>
      <w:r>
        <w:t xml:space="preserve">, and</w:t>
      </w:r>
      <w:r>
        <w:t xml:space="preserve"> </w:t>
      </w:r>
      <w:r>
        <w:t xml:space="preserve">Salinity</w:t>
      </w:r>
      <w:r>
        <w:t xml:space="preserve"> </w:t>
      </w:r>
      <w:r>
        <w:t xml:space="preserve">Tolerance</w:t>
      </w:r>
      <w:r>
        <w:t xml:space="preserve"> </w:t>
      </w:r>
      <w:r>
        <w:t xml:space="preserve">of</w:t>
      </w:r>
      <w:r>
        <w:t xml:space="preserve"> </w:t>
      </w:r>
      <w:r>
        <w:t xml:space="preserve">Alewives</w:t>
      </w:r>
      <w:r>
        <w:t xml:space="preserve"> </w:t>
      </w:r>
      <w:r>
        <w:t xml:space="preserve">and</w:t>
      </w:r>
      <w:r>
        <w:t xml:space="preserve"> </w:t>
      </w:r>
      <w:r>
        <w:t xml:space="preserve">Blueback</w:t>
      </w:r>
      <w:r>
        <w:t xml:space="preserve"> </w:t>
      </w:r>
      <w:r>
        <w:t xml:space="preserve">Herring</w:t>
      </w:r>
      <w:r>
        <w:t xml:space="preserve"> </w:t>
      </w:r>
      <w:r>
        <w:t xml:space="preserve">in</w:t>
      </w:r>
      <w:r>
        <w:t xml:space="preserve"> </w:t>
      </w:r>
      <w:r>
        <w:t xml:space="preserve">Captivity</w:t>
      </w:r>
      <w:r>
        <w:t xml:space="preserve">.”</w:t>
      </w:r>
      <w:r>
        <w:t xml:space="preserve"> </w:t>
      </w:r>
      <w:r>
        <w:rPr>
          <w:iCs/>
          <w:i/>
        </w:rPr>
        <w:t xml:space="preserve">North American Journal of Aquaculture</w:t>
      </w:r>
      <w:r>
        <w:t xml:space="preserve"> </w:t>
      </w:r>
      <w:r>
        <w:t xml:space="preserve">77 (3): 302–11.</w:t>
      </w:r>
      <w:r>
        <w:t xml:space="preserve"> </w:t>
      </w:r>
      <w:hyperlink r:id="rId49">
        <w:r>
          <w:rPr>
            <w:rStyle w:val="Hyperlink"/>
          </w:rPr>
          <w:t xml:space="preserve">https://doi.org/10.1080/15222055.2015.1009590</w:t>
        </w:r>
      </w:hyperlink>
      <w:r>
        <w:t xml:space="preserve">.</w:t>
      </w:r>
    </w:p>
    <w:bookmarkEnd w:id="50"/>
    <w:bookmarkStart w:id="52" w:name="ref-fabrizio_extent_2021"/>
    <w:p>
      <w:pPr>
        <w:pStyle w:val="Bibliography"/>
      </w:pPr>
      <w:r>
        <w:t xml:space="preserve">Fabrizio, Mary C., Troy D. Tuckey, Aaron J. Bever, and Michael L. MacWilliams. 2021.</w:t>
      </w:r>
      <w:r>
        <w:t xml:space="preserve"> </w:t>
      </w:r>
      <w:r>
        <w:t xml:space="preserve">“The</w:t>
      </w:r>
      <w:r>
        <w:t xml:space="preserve"> </w:t>
      </w:r>
      <w:r>
        <w:t xml:space="preserve">Extent</w:t>
      </w:r>
      <w:r>
        <w:t xml:space="preserve"> </w:t>
      </w:r>
      <w:r>
        <w:t xml:space="preserve">of</w:t>
      </w:r>
      <w:r>
        <w:t xml:space="preserve"> </w:t>
      </w:r>
      <w:r>
        <w:t xml:space="preserve">Seasonally</w:t>
      </w:r>
      <w:r>
        <w:t xml:space="preserve"> </w:t>
      </w:r>
      <w:r>
        <w:t xml:space="preserve">Suitable</w:t>
      </w:r>
      <w:r>
        <w:t xml:space="preserve"> </w:t>
      </w:r>
      <w:r>
        <w:t xml:space="preserve">Habitats</w:t>
      </w:r>
      <w:r>
        <w:t xml:space="preserve"> </w:t>
      </w:r>
      <w:r>
        <w:t xml:space="preserve">May</w:t>
      </w:r>
      <w:r>
        <w:t xml:space="preserve"> </w:t>
      </w:r>
      <w:r>
        <w:t xml:space="preserve">Limit</w:t>
      </w:r>
      <w:r>
        <w:t xml:space="preserve"> </w:t>
      </w:r>
      <w:r>
        <w:t xml:space="preserve">Forage</w:t>
      </w:r>
      <w:r>
        <w:t xml:space="preserve"> </w:t>
      </w:r>
      <w:r>
        <w:t xml:space="preserve">Fish</w:t>
      </w:r>
      <w:r>
        <w:t xml:space="preserve"> </w:t>
      </w:r>
      <w:r>
        <w:t xml:space="preserve">Production</w:t>
      </w:r>
      <w:r>
        <w:t xml:space="preserve"> </w:t>
      </w:r>
      <w:r>
        <w:t xml:space="preserve">in a</w:t>
      </w:r>
      <w:r>
        <w:t xml:space="preserve"> </w:t>
      </w:r>
      <w:r>
        <w:t xml:space="preserve">Temperate</w:t>
      </w:r>
      <w:r>
        <w:t xml:space="preserve"> </w:t>
      </w:r>
      <w:r>
        <w:t xml:space="preserve">Estuary</w:t>
      </w:r>
      <w:r>
        <w:t xml:space="preserve">.”</w:t>
      </w:r>
      <w:r>
        <w:t xml:space="preserve"> </w:t>
      </w:r>
      <w:r>
        <w:rPr>
          <w:iCs/>
          <w:i/>
        </w:rPr>
        <w:t xml:space="preserve">Frontiers in Marine Science</w:t>
      </w:r>
      <w:r>
        <w:t xml:space="preserve"> </w:t>
      </w:r>
      <w:r>
        <w:t xml:space="preserve">8 (October): 706666.</w:t>
      </w:r>
      <w:r>
        <w:t xml:space="preserve"> </w:t>
      </w:r>
      <w:hyperlink r:id="rId51">
        <w:r>
          <w:rPr>
            <w:rStyle w:val="Hyperlink"/>
          </w:rPr>
          <w:t xml:space="preserve">https://doi.org/10.3389/fmars.2021.706666</w:t>
        </w:r>
      </w:hyperlink>
      <w:r>
        <w:t xml:space="preserve">.</w:t>
      </w:r>
    </w:p>
    <w:bookmarkEnd w:id="52"/>
    <w:bookmarkStart w:id="54" w:name="ref-fay_alewifeblueback_1983"/>
    <w:p>
      <w:pPr>
        <w:pStyle w:val="Bibliography"/>
      </w:pPr>
      <w:r>
        <w:t xml:space="preserve">Fay, Clemon, Richard Neves, and Garland Pardue. 1983.</w:t>
      </w:r>
      <w:r>
        <w:t xml:space="preserve"> </w:t>
      </w:r>
      <w:r>
        <w:t xml:space="preserve">“Alewife/</w:t>
      </w:r>
      <w:r>
        <w:t xml:space="preserve">Blueback</w:t>
      </w:r>
      <w:r>
        <w:t xml:space="preserve"> </w:t>
      </w:r>
      <w:r>
        <w:t xml:space="preserve">Herring</w:t>
      </w:r>
      <w:r>
        <w:t xml:space="preserve">.”</w:t>
      </w:r>
      <w:r>
        <w:t xml:space="preserve"> </w:t>
      </w:r>
      <w:r>
        <w:t xml:space="preserve">Biological {Report} FWS/OBS-82/11.9. Blacksburg, VA: U.S. Fish; WIldlife Service, Division of Biological Sciences, U.S. Army Corps of Engineers.</w:t>
      </w:r>
      <w:r>
        <w:t xml:space="preserve"> </w:t>
      </w:r>
      <w:hyperlink r:id="rId53">
        <w:r>
          <w:rPr>
            <w:rStyle w:val="Hyperlink"/>
          </w:rPr>
          <w:t xml:space="preserve">https://apps.dtic.mil/sti/tr/pdf/ADA180383.pdf</w:t>
        </w:r>
      </w:hyperlink>
      <w:r>
        <w:t xml:space="preserve">.</w:t>
      </w:r>
    </w:p>
    <w:bookmarkEnd w:id="54"/>
    <w:bookmarkStart w:id="56" w:name="ref-frank_role_2011"/>
    <w:p>
      <w:pPr>
        <w:pStyle w:val="Bibliography"/>
      </w:pPr>
      <w:r>
        <w:t xml:space="preserve">Frank, H. J., M. E. Mather, J. M. Smith, R. M. Muth, and J. T. Finn. 2011.</w:t>
      </w:r>
      <w:r>
        <w:t xml:space="preserve"> </w:t>
      </w:r>
      <w:r>
        <w:t xml:space="preserve">“Role of Origin and Release Location in Pre-Spawning Distribution and Movements of Anadromous Alewife:</w:t>
      </w:r>
      <w:r>
        <w:t xml:space="preserve"> </w:t>
      </w:r>
      <w:r>
        <w:t xml:space="preserve">PRE</w:t>
      </w:r>
      <w:r>
        <w:t xml:space="preserve">-</w:t>
      </w:r>
      <w:r>
        <w:t xml:space="preserve">SPAWNING</w:t>
      </w:r>
      <w:r>
        <w:t xml:space="preserve"> </w:t>
      </w:r>
      <w:r>
        <w:t xml:space="preserve">ALEWIFE</w:t>
      </w:r>
      <w:r>
        <w:t xml:space="preserve"> </w:t>
      </w:r>
      <w:r>
        <w:t xml:space="preserve">DISTRIBUTION</w:t>
      </w:r>
      <w:r>
        <w:t xml:space="preserve"> </w:t>
      </w:r>
      <w:r>
        <w:t xml:space="preserve">AND</w:t>
      </w:r>
      <w:r>
        <w:t xml:space="preserve"> </w:t>
      </w:r>
      <w:r>
        <w:t xml:space="preserve">MOVEMENT</w:t>
      </w:r>
      <w:r>
        <w:t xml:space="preserve">.”</w:t>
      </w:r>
      <w:r>
        <w:t xml:space="preserve"> </w:t>
      </w:r>
      <w:r>
        <w:rPr>
          <w:iCs/>
          <w:i/>
        </w:rPr>
        <w:t xml:space="preserve">Fisheries Management and Ecology</w:t>
      </w:r>
      <w:r>
        <w:t xml:space="preserve"> </w:t>
      </w:r>
      <w:r>
        <w:t xml:space="preserve">18 (1): 12–24.</w:t>
      </w:r>
      <w:r>
        <w:t xml:space="preserve"> </w:t>
      </w:r>
      <w:hyperlink r:id="rId55">
        <w:r>
          <w:rPr>
            <w:rStyle w:val="Hyperlink"/>
          </w:rPr>
          <w:t xml:space="preserve">https://doi.org/10.1111/j.1365-2400.2010.00759.x</w:t>
        </w:r>
      </w:hyperlink>
      <w:r>
        <w:t xml:space="preserve">.</w:t>
      </w:r>
    </w:p>
    <w:bookmarkEnd w:id="56"/>
    <w:bookmarkStart w:id="57" w:name="ref-gibson_statistical_2003"/>
    <w:p>
      <w:pPr>
        <w:pStyle w:val="Bibliography"/>
      </w:pPr>
      <w:r>
        <w:t xml:space="preserve">Gibson, A. Jamie F., and Ransom A. Myers. 2003.</w:t>
      </w:r>
      <w:r>
        <w:t xml:space="preserve"> </w:t>
      </w:r>
      <w:r>
        <w:t xml:space="preserve">“A</w:t>
      </w:r>
      <w:r>
        <w:t xml:space="preserve"> </w:t>
      </w:r>
      <w:r>
        <w:t xml:space="preserve">Statistical</w:t>
      </w:r>
      <w:r>
        <w:t xml:space="preserve"> </w:t>
      </w:r>
      <w:r>
        <w:t xml:space="preserve">Age</w:t>
      </w:r>
      <w:r>
        <w:t xml:space="preserve">-</w:t>
      </w:r>
      <w:r>
        <w:t xml:space="preserve">Structured</w:t>
      </w:r>
      <w:r>
        <w:t xml:space="preserve">,</w:t>
      </w:r>
      <w:r>
        <w:t xml:space="preserve"> </w:t>
      </w:r>
      <w:r>
        <w:t xml:space="preserve">Life</w:t>
      </w:r>
      <w:r>
        <w:t xml:space="preserve">-</w:t>
      </w:r>
      <w:r>
        <w:t xml:space="preserve">History</w:t>
      </w:r>
      <w:r>
        <w:t xml:space="preserve">-</w:t>
      </w:r>
      <w:r>
        <w:t xml:space="preserve">Based</w:t>
      </w:r>
      <w:r>
        <w:t xml:space="preserve"> </w:t>
      </w:r>
      <w:r>
        <w:t xml:space="preserve">Stock</w:t>
      </w:r>
      <w:r>
        <w:t xml:space="preserve"> </w:t>
      </w:r>
      <w:r>
        <w:t xml:space="preserve">Assessment</w:t>
      </w:r>
      <w:r>
        <w:t xml:space="preserve"> </w:t>
      </w:r>
      <w:r>
        <w:t xml:space="preserve">Model</w:t>
      </w:r>
      <w:r>
        <w:t xml:space="preserve"> </w:t>
      </w:r>
      <w:r>
        <w:t xml:space="preserve">for</w:t>
      </w:r>
      <w:r>
        <w:t xml:space="preserve"> </w:t>
      </w:r>
      <w:r>
        <w:t xml:space="preserve">Anadromous</w:t>
      </w:r>
      <w:r>
        <w:t xml:space="preserve"> </w:t>
      </w:r>
      <w:r>
        <w:t xml:space="preserve">Alosa</w:t>
      </w:r>
      <w:r>
        <w:t xml:space="preserve">.”</w:t>
      </w:r>
      <w:r>
        <w:t xml:space="preserve"> </w:t>
      </w:r>
      <w:r>
        <w:rPr>
          <w:iCs/>
          <w:i/>
        </w:rPr>
        <w:t xml:space="preserve">American Fisheries Society</w:t>
      </w:r>
      <w:r>
        <w:t xml:space="preserve"> </w:t>
      </w:r>
      <w:r>
        <w:t xml:space="preserve">35: 275–83.</w:t>
      </w:r>
    </w:p>
    <w:bookmarkEnd w:id="57"/>
    <w:bookmarkStart w:id="59" w:name="ref-haro_swimming_2004"/>
    <w:p>
      <w:pPr>
        <w:pStyle w:val="Bibliography"/>
      </w:pPr>
      <w:r>
        <w:t xml:space="preserve">Haro, Alex, Theodore Castro-Santos, John Noreika, and Mufeed Odeh. 2004.</w:t>
      </w:r>
      <w:r>
        <w:t xml:space="preserve"> </w:t>
      </w:r>
      <w:r>
        <w:t xml:space="preserve">“Swimming Performance of Upstream Migrant Fishes in Open-Channel Flow: A New Approach to Predicting Passage Through Velocity Barriers.”</w:t>
      </w:r>
      <w:r>
        <w:t xml:space="preserve"> </w:t>
      </w:r>
      <w:r>
        <w:rPr>
          <w:iCs/>
          <w:i/>
        </w:rPr>
        <w:t xml:space="preserve">Canadian Journal of Fisheries and Aquatic Sciences</w:t>
      </w:r>
      <w:r>
        <w:t xml:space="preserve"> </w:t>
      </w:r>
      <w:r>
        <w:t xml:space="preserve">61 (9): 1590–1601.</w:t>
      </w:r>
      <w:r>
        <w:t xml:space="preserve"> </w:t>
      </w:r>
      <w:hyperlink r:id="rId58">
        <w:r>
          <w:rPr>
            <w:rStyle w:val="Hyperlink"/>
          </w:rPr>
          <w:t xml:space="preserve">https://doi.org/10.1139/f04-093</w:t>
        </w:r>
      </w:hyperlink>
      <w:r>
        <w:t xml:space="preserve">.</w:t>
      </w:r>
    </w:p>
    <w:bookmarkEnd w:id="59"/>
    <w:bookmarkStart w:id="61" w:name="ref-hook_annual_2008"/>
    <w:p>
      <w:pPr>
        <w:pStyle w:val="Bibliography"/>
      </w:pPr>
      <w:r>
        <w:t xml:space="preserve">Höök, Tomas O., Edward S. Rutherford, Thomas E. Croley, Doran M. Mason, and Charles P. Madenjian. 2008.</w:t>
      </w:r>
      <w:r>
        <w:t xml:space="preserve"> </w:t>
      </w:r>
      <w:r>
        <w:t xml:space="preserve">“Annual Variation in Habitat-Specific Recruitment Success: Implications from an Individual-Based Model of</w:t>
      </w:r>
      <w:r>
        <w:t xml:space="preserve"> </w:t>
      </w:r>
      <w:r>
        <w:t xml:space="preserve">Lake</w:t>
      </w:r>
      <w:r>
        <w:t xml:space="preserve"> </w:t>
      </w:r>
      <w:r>
        <w:t xml:space="preserve">Michigan</w:t>
      </w:r>
      <w:r>
        <w:t xml:space="preserve"> </w:t>
      </w:r>
      <w:r>
        <w:t xml:space="preserve">Alewife (</w:t>
      </w:r>
      <w:r>
        <w:t xml:space="preserve">Alosa</w:t>
      </w:r>
      <w:r>
        <w:t xml:space="preserve"> </w:t>
      </w:r>
      <w:r>
        <w:t xml:space="preserve">Pseudoharengus).”</w:t>
      </w:r>
      <w:r>
        <w:t xml:space="preserve"> </w:t>
      </w:r>
      <w:r>
        <w:rPr>
          <w:iCs/>
          <w:i/>
        </w:rPr>
        <w:t xml:space="preserve">Canadian Journal of Fisheries and Aquatic Sciences</w:t>
      </w:r>
      <w:r>
        <w:t xml:space="preserve"> </w:t>
      </w:r>
      <w:r>
        <w:t xml:space="preserve">65 (7): 1402–12.</w:t>
      </w:r>
      <w:r>
        <w:t xml:space="preserve"> </w:t>
      </w:r>
      <w:hyperlink r:id="rId60">
        <w:r>
          <w:rPr>
            <w:rStyle w:val="Hyperlink"/>
          </w:rPr>
          <w:t xml:space="preserve">https://doi.org/10.1139/F08-066</w:t>
        </w:r>
      </w:hyperlink>
      <w:r>
        <w:t xml:space="preserve">.</w:t>
      </w:r>
    </w:p>
    <w:bookmarkEnd w:id="61"/>
    <w:bookmarkStart w:id="63" w:name="ref-ingel_habitat_2013"/>
    <w:p>
      <w:pPr>
        <w:pStyle w:val="Bibliography"/>
      </w:pPr>
      <w:r>
        <w:t xml:space="preserve">Ingel, Claire. 2013.</w:t>
      </w:r>
      <w:r>
        <w:t xml:space="preserve"> </w:t>
      </w:r>
      <w:r>
        <w:t xml:space="preserve">“Habitat</w:t>
      </w:r>
      <w:r>
        <w:t xml:space="preserve"> </w:t>
      </w:r>
      <w:r>
        <w:t xml:space="preserve">Use</w:t>
      </w:r>
      <w:r>
        <w:t xml:space="preserve">,</w:t>
      </w:r>
      <w:r>
        <w:t xml:space="preserve"> </w:t>
      </w:r>
      <w:r>
        <w:t xml:space="preserve">Growth</w:t>
      </w:r>
      <w:r>
        <w:t xml:space="preserve">, and</w:t>
      </w:r>
      <w:r>
        <w:t xml:space="preserve"> </w:t>
      </w:r>
      <w:r>
        <w:t xml:space="preserve">Feeding</w:t>
      </w:r>
      <w:r>
        <w:t xml:space="preserve"> </w:t>
      </w:r>
      <w:r>
        <w:t xml:space="preserve">of</w:t>
      </w:r>
      <w:r>
        <w:t xml:space="preserve"> </w:t>
      </w:r>
      <w:r>
        <w:t xml:space="preserve">Larval</w:t>
      </w:r>
      <w:r>
        <w:t xml:space="preserve"> </w:t>
      </w:r>
      <w:r>
        <w:t xml:space="preserve">Alewife</w:t>
      </w:r>
      <w:r>
        <w:t xml:space="preserve"> </w:t>
      </w:r>
      <w:r>
        <w:t xml:space="preserve">in a</w:t>
      </w:r>
      <w:r>
        <w:t xml:space="preserve"> </w:t>
      </w:r>
      <w:r>
        <w:t xml:space="preserve">Shallow</w:t>
      </w:r>
      <w:r>
        <w:t xml:space="preserve"> </w:t>
      </w:r>
      <w:r>
        <w:t xml:space="preserve">River</w:t>
      </w:r>
      <w:r>
        <w:t xml:space="preserve"> </w:t>
      </w:r>
      <w:r>
        <w:t xml:space="preserve">Margin</w:t>
      </w:r>
      <w:r>
        <w:t xml:space="preserve"> </w:t>
      </w:r>
      <w:r>
        <w:t xml:space="preserve">of the</w:t>
      </w:r>
      <w:r>
        <w:t xml:space="preserve"> </w:t>
      </w:r>
      <w:r>
        <w:t xml:space="preserve">Upper</w:t>
      </w:r>
      <w:r>
        <w:t xml:space="preserve"> </w:t>
      </w:r>
      <w:r>
        <w:t xml:space="preserve">Hudson</w:t>
      </w:r>
      <w:r>
        <w:t xml:space="preserve"> </w:t>
      </w:r>
      <w:r>
        <w:t xml:space="preserve">River</w:t>
      </w:r>
      <w:r>
        <w:t xml:space="preserve">.”</w:t>
      </w:r>
      <w:r>
        <w:t xml:space="preserve"> </w:t>
      </w:r>
      <w:r>
        <w:t xml:space="preserve">Master’s thesis, Cornell University.</w:t>
      </w:r>
      <w:r>
        <w:t xml:space="preserve"> </w:t>
      </w:r>
      <w:hyperlink r:id="rId62">
        <w:r>
          <w:rPr>
            <w:rStyle w:val="Hyperlink"/>
          </w:rPr>
          <w:t xml:space="preserve">https://ecommons.cornell.edu/bitstream/handle/1813/33829/ces279.pdf?sequence=1&amp;isAllowed=y</w:t>
        </w:r>
      </w:hyperlink>
      <w:r>
        <w:t xml:space="preserve">.</w:t>
      </w:r>
    </w:p>
    <w:bookmarkEnd w:id="63"/>
    <w:bookmarkStart w:id="65" w:name="ref-janssen_will_1978"/>
    <w:p>
      <w:pPr>
        <w:pStyle w:val="Bibliography"/>
      </w:pPr>
      <w:r>
        <w:t xml:space="preserve">Janssen, John. 1978.</w:t>
      </w:r>
      <w:r>
        <w:t xml:space="preserve"> </w:t>
      </w:r>
      <w:r>
        <w:t xml:space="preserve">“Will Alewives (</w:t>
      </w:r>
      <w:r>
        <w:t xml:space="preserve">Alosa</w:t>
      </w:r>
      <w:r>
        <w:t xml:space="preserve"> </w:t>
      </w:r>
      <w:r>
        <w:t xml:space="preserve">Pseudoharengus) Feed in the Dark?”</w:t>
      </w:r>
      <w:r>
        <w:t xml:space="preserve"> </w:t>
      </w:r>
      <w:r>
        <w:rPr>
          <w:iCs/>
          <w:i/>
        </w:rPr>
        <w:t xml:space="preserve">Environmental Biology of Fishes</w:t>
      </w:r>
      <w:r>
        <w:t xml:space="preserve"> </w:t>
      </w:r>
      <w:r>
        <w:t xml:space="preserve">3 (2): 239–40.</w:t>
      </w:r>
      <w:r>
        <w:t xml:space="preserve"> </w:t>
      </w:r>
      <w:hyperlink r:id="rId64">
        <w:r>
          <w:rPr>
            <w:rStyle w:val="Hyperlink"/>
          </w:rPr>
          <w:t xml:space="preserve">https://doi.org/10.1007/BF00691949</w:t>
        </w:r>
      </w:hyperlink>
      <w:r>
        <w:t xml:space="preserve">.</w:t>
      </w:r>
    </w:p>
    <w:bookmarkEnd w:id="65"/>
    <w:bookmarkStart w:id="67" w:name="ref-janssen_feeding_1980"/>
    <w:p>
      <w:pPr>
        <w:pStyle w:val="Bibliography"/>
      </w:pPr>
      <w:r>
        <w:t xml:space="preserve">Janssen, John, and Stephen B. Brandt. 1980.</w:t>
      </w:r>
      <w:r>
        <w:t xml:space="preserve"> </w:t>
      </w:r>
      <w:r>
        <w:t xml:space="preserve">“Feeding</w:t>
      </w:r>
      <w:r>
        <w:t xml:space="preserve"> </w:t>
      </w:r>
      <w:r>
        <w:t xml:space="preserve">Ecology</w:t>
      </w:r>
      <w:r>
        <w:t xml:space="preserve"> </w:t>
      </w:r>
      <w:r>
        <w:t xml:space="preserve">and</w:t>
      </w:r>
      <w:r>
        <w:t xml:space="preserve"> </w:t>
      </w:r>
      <w:r>
        <w:t xml:space="preserve">Vertical</w:t>
      </w:r>
      <w:r>
        <w:t xml:space="preserve"> </w:t>
      </w:r>
      <w:r>
        <w:t xml:space="preserve">Migration</w:t>
      </w:r>
      <w:r>
        <w:t xml:space="preserve"> </w:t>
      </w:r>
      <w:r>
        <w:t xml:space="preserve">of</w:t>
      </w:r>
      <w:r>
        <w:t xml:space="preserve"> </w:t>
      </w:r>
      <w:r>
        <w:t xml:space="preserve">Adult</w:t>
      </w:r>
      <w:r>
        <w:t xml:space="preserve"> </w:t>
      </w:r>
      <w:r>
        <w:t xml:space="preserve">Alewives</w:t>
      </w:r>
      <w:r>
        <w:t xml:space="preserve"> </w:t>
      </w:r>
      <w:r>
        <w:t xml:space="preserve">(</w:t>
      </w:r>
      <w:r>
        <w:t xml:space="preserve"> </w:t>
      </w:r>
      <w:r>
        <w:rPr>
          <w:iCs/>
          <w:i/>
        </w:rPr>
        <w:t xml:space="preserve">Alosa</w:t>
      </w:r>
      <w:r>
        <w:rPr>
          <w:iCs/>
          <w:i/>
        </w:rPr>
        <w:t xml:space="preserve"> </w:t>
      </w:r>
      <w:r>
        <w:rPr>
          <w:iCs/>
          <w:i/>
        </w:rPr>
        <w:t xml:space="preserve">Pseudoharengus</w:t>
      </w:r>
      <w:r>
        <w:t xml:space="preserve"> </w:t>
      </w:r>
      <w:r>
        <w:t xml:space="preserve">) in</w:t>
      </w:r>
      <w:r>
        <w:t xml:space="preserve"> </w:t>
      </w:r>
      <w:r>
        <w:t xml:space="preserve">Lake</w:t>
      </w:r>
      <w:r>
        <w:t xml:space="preserve"> </w:t>
      </w:r>
      <w:r>
        <w:t xml:space="preserve">Michigan</w:t>
      </w:r>
      <w:r>
        <w:t xml:space="preserve">.”</w:t>
      </w:r>
      <w:r>
        <w:t xml:space="preserve"> </w:t>
      </w:r>
      <w:r>
        <w:rPr>
          <w:iCs/>
          <w:i/>
        </w:rPr>
        <w:t xml:space="preserve">Canadian Journal of Fisheries and Aquatic Sciences</w:t>
      </w:r>
      <w:r>
        <w:t xml:space="preserve"> </w:t>
      </w:r>
      <w:r>
        <w:t xml:space="preserve">37 (2): 177–84.</w:t>
      </w:r>
      <w:r>
        <w:t xml:space="preserve"> </w:t>
      </w:r>
      <w:hyperlink r:id="rId66">
        <w:r>
          <w:rPr>
            <w:rStyle w:val="Hyperlink"/>
          </w:rPr>
          <w:t xml:space="preserve">https://doi.org/10.1139/f80-023</w:t>
        </w:r>
      </w:hyperlink>
      <w:r>
        <w:t xml:space="preserve">.</w:t>
      </w:r>
    </w:p>
    <w:bookmarkEnd w:id="67"/>
    <w:bookmarkStart w:id="69" w:name="ref-janssen_preference_2004"/>
    <w:p>
      <w:pPr>
        <w:pStyle w:val="Bibliography"/>
      </w:pPr>
      <w:r>
        <w:t xml:space="preserve">Janssen, John, and Michelle A. Luebke. 2004.</w:t>
      </w:r>
      <w:r>
        <w:t xml:space="preserve"> </w:t>
      </w:r>
      <w:r>
        <w:t xml:space="preserve">“Preference for</w:t>
      </w:r>
      <w:r>
        <w:t xml:space="preserve"> </w:t>
      </w:r>
      <w:r>
        <w:t xml:space="preserve">Rocky</w:t>
      </w:r>
      <w:r>
        <w:t xml:space="preserve"> </w:t>
      </w:r>
      <w:r>
        <w:t xml:space="preserve">Habitat</w:t>
      </w:r>
      <w:r>
        <w:t xml:space="preserve"> </w:t>
      </w:r>
      <w:r>
        <w:t xml:space="preserve">by</w:t>
      </w:r>
      <w:r>
        <w:t xml:space="preserve"> </w:t>
      </w:r>
      <w:r>
        <w:t xml:space="preserve">Age</w:t>
      </w:r>
      <w:r>
        <w:t xml:space="preserve">-0</w:t>
      </w:r>
      <w:r>
        <w:t xml:space="preserve"> </w:t>
      </w:r>
      <w:r>
        <w:t xml:space="preserve">Yellow</w:t>
      </w:r>
      <w:r>
        <w:t xml:space="preserve"> </w:t>
      </w:r>
      <w:r>
        <w:t xml:space="preserve">Perch</w:t>
      </w:r>
      <w:r>
        <w:t xml:space="preserve"> </w:t>
      </w:r>
      <w:r>
        <w:t xml:space="preserve">and</w:t>
      </w:r>
      <w:r>
        <w:t xml:space="preserve"> </w:t>
      </w:r>
      <w:r>
        <w:t xml:space="preserve">Alewives</w:t>
      </w:r>
      <w:r>
        <w:t xml:space="preserve">.”</w:t>
      </w:r>
      <w:r>
        <w:t xml:space="preserve"> </w:t>
      </w:r>
      <w:r>
        <w:rPr>
          <w:iCs/>
          <w:i/>
        </w:rPr>
        <w:t xml:space="preserve">Journal of Great Lakes Research</w:t>
      </w:r>
      <w:r>
        <w:t xml:space="preserve"> </w:t>
      </w:r>
      <w:r>
        <w:t xml:space="preserve">30 (1): 93–99.</w:t>
      </w:r>
      <w:r>
        <w:t xml:space="preserve"> </w:t>
      </w:r>
      <w:hyperlink r:id="rId68">
        <w:r>
          <w:rPr>
            <w:rStyle w:val="Hyperlink"/>
          </w:rPr>
          <w:t xml:space="preserve">https://doi.org/10.1016/S0380-1330(04)70332-9</w:t>
        </w:r>
      </w:hyperlink>
      <w:r>
        <w:t xml:space="preserve">.</w:t>
      </w:r>
    </w:p>
    <w:bookmarkEnd w:id="69"/>
    <w:bookmarkStart w:id="70" w:name="ref-killgore_distribution_1988"/>
    <w:p>
      <w:pPr>
        <w:pStyle w:val="Bibliography"/>
      </w:pPr>
      <w:r>
        <w:t xml:space="preserve">Killgore, K. Jack, Raymond P. Morgan, and Linda M. Hurley. 1988.</w:t>
      </w:r>
      <w:r>
        <w:t xml:space="preserve"> </w:t>
      </w:r>
      <w:r>
        <w:t xml:space="preserve">“Distribution and</w:t>
      </w:r>
      <w:r>
        <w:t xml:space="preserve"> </w:t>
      </w:r>
      <w:r>
        <w:t xml:space="preserve">Abundance</w:t>
      </w:r>
      <w:r>
        <w:t xml:space="preserve"> </w:t>
      </w:r>
      <w:r>
        <w:t xml:space="preserve">of</w:t>
      </w:r>
      <w:r>
        <w:t xml:space="preserve"> </w:t>
      </w:r>
      <w:r>
        <w:t xml:space="preserve">Fishes</w:t>
      </w:r>
      <w:r>
        <w:t xml:space="preserve"> </w:t>
      </w:r>
      <w:r>
        <w:t xml:space="preserve">in</w:t>
      </w:r>
      <w:r>
        <w:t xml:space="preserve"> </w:t>
      </w:r>
      <w:r>
        <w:t xml:space="preserve">Aquatic</w:t>
      </w:r>
      <w:r>
        <w:t xml:space="preserve"> </w:t>
      </w:r>
      <w:r>
        <w:t xml:space="preserve">Vegetation</w:t>
      </w:r>
      <w:r>
        <w:t xml:space="preserve">.”</w:t>
      </w:r>
      <w:r>
        <w:t xml:space="preserve"> </w:t>
      </w:r>
      <w:r>
        <w:t xml:space="preserve">Miscellaneous {Paper} {A}-87-2 88-11-15-001. Vicksburg, Mississippi: Engineer Research; Development Center (U.S.).</w:t>
      </w:r>
    </w:p>
    <w:bookmarkEnd w:id="70"/>
    <w:bookmarkStart w:id="72" w:name="ref-kissil_spawning_1974"/>
    <w:p>
      <w:pPr>
        <w:pStyle w:val="Bibliography"/>
      </w:pPr>
      <w:r>
        <w:t xml:space="preserve">Kissil, George William. 1974.</w:t>
      </w:r>
      <w:r>
        <w:t xml:space="preserve"> </w:t>
      </w:r>
      <w:r>
        <w:t xml:space="preserve">“Spawning of the</w:t>
      </w:r>
      <w:r>
        <w:t xml:space="preserve"> </w:t>
      </w:r>
      <w:r>
        <w:t xml:space="preserve">Anadromous</w:t>
      </w:r>
      <w:r>
        <w:t xml:space="preserve"> </w:t>
      </w:r>
      <w:r>
        <w:t xml:space="preserve">Alewife</w:t>
      </w:r>
      <w:r>
        <w:t xml:space="preserve">,</w:t>
      </w:r>
      <w:r>
        <w:t xml:space="preserve"> </w:t>
      </w:r>
      <w:r>
        <w:t xml:space="preserve">Alosa</w:t>
      </w:r>
      <w:r>
        <w:t xml:space="preserve"> </w:t>
      </w:r>
      <w:r>
        <w:t xml:space="preserve">Pseudoharengus, in</w:t>
      </w:r>
      <w:r>
        <w:t xml:space="preserve"> </w:t>
      </w:r>
      <w:r>
        <w:t xml:space="preserve">Bride</w:t>
      </w:r>
      <w:r>
        <w:t xml:space="preserve"> </w:t>
      </w:r>
      <w:r>
        <w:t xml:space="preserve">Lake</w:t>
      </w:r>
      <w:r>
        <w:t xml:space="preserve">,</w:t>
      </w:r>
      <w:r>
        <w:t xml:space="preserve"> </w:t>
      </w:r>
      <w:r>
        <w:t xml:space="preserve">Connecticut</w:t>
      </w:r>
      <w:r>
        <w:t xml:space="preserve">.”</w:t>
      </w:r>
      <w:r>
        <w:t xml:space="preserve"> </w:t>
      </w:r>
      <w:r>
        <w:rPr>
          <w:iCs/>
          <w:i/>
        </w:rPr>
        <w:t xml:space="preserve">Transactions of the American Fisheries Society</w:t>
      </w:r>
      <w:r>
        <w:t xml:space="preserve"> </w:t>
      </w:r>
      <w:r>
        <w:t xml:space="preserve">103 (2): 312–17.</w:t>
      </w:r>
      <w:r>
        <w:t xml:space="preserve"> </w:t>
      </w:r>
      <w:hyperlink r:id="rId71">
        <w:r>
          <w:rPr>
            <w:rStyle w:val="Hyperlink"/>
          </w:rPr>
          <w:t xml:space="preserve">https://doi.org/10.1577/1548-8659(1974)103&lt;312:SOTAAA&gt;2.0.CO;2</w:t>
        </w:r>
      </w:hyperlink>
      <w:r>
        <w:t xml:space="preserve">.</w:t>
      </w:r>
    </w:p>
    <w:bookmarkEnd w:id="72"/>
    <w:bookmarkStart w:id="73" w:name="ref-klauda_alewife_1991"/>
    <w:p>
      <w:pPr>
        <w:pStyle w:val="Bibliography"/>
      </w:pPr>
      <w:r>
        <w:t xml:space="preserve">Klauda, R. J., L. W. Hall Fischer, and J. A. Sullivan. 1991.</w:t>
      </w:r>
      <w:r>
        <w:t xml:space="preserve"> </w:t>
      </w:r>
      <w:r>
        <w:t xml:space="preserve">“Alewife and</w:t>
      </w:r>
      <w:r>
        <w:t xml:space="preserve"> </w:t>
      </w:r>
      <w:r>
        <w:t xml:space="preserve">Blueback</w:t>
      </w:r>
      <w:r>
        <w:t xml:space="preserve"> </w:t>
      </w:r>
      <w:r>
        <w:t xml:space="preserve">Herring</w:t>
      </w:r>
      <w:r>
        <w:t xml:space="preserve">,</w:t>
      </w:r>
      <w:r>
        <w:t xml:space="preserve"> </w:t>
      </w:r>
      <w:r>
        <w:t xml:space="preserve">Alosa</w:t>
      </w:r>
      <w:r>
        <w:t xml:space="preserve"> </w:t>
      </w:r>
      <w:r>
        <w:t xml:space="preserve">Pseudoharengus and</w:t>
      </w:r>
      <w:r>
        <w:t xml:space="preserve"> </w:t>
      </w:r>
      <w:r>
        <w:t xml:space="preserve">Alosa</w:t>
      </w:r>
      <w:r>
        <w:t xml:space="preserve"> </w:t>
      </w:r>
      <w:r>
        <w:t xml:space="preserve">Aestivalis.”</w:t>
      </w:r>
      <w:r>
        <w:t xml:space="preserve"> </w:t>
      </w:r>
      <w:r>
        <w:t xml:space="preserve">Solomons, Maryland.</w:t>
      </w:r>
    </w:p>
    <w:bookmarkEnd w:id="73"/>
    <w:bookmarkStart w:id="75" w:name="ref-kocovsky_linking_2008"/>
    <w:p>
      <w:pPr>
        <w:pStyle w:val="Bibliography"/>
      </w:pPr>
      <w:r>
        <w:t xml:space="preserve">Kocovsky, Patrick M., Robert M. Ross, David S. Dropkin, and John M. Campbell. 2008.</w:t>
      </w:r>
      <w:r>
        <w:t xml:space="preserve"> </w:t>
      </w:r>
      <w:r>
        <w:t xml:space="preserve">“Linking</w:t>
      </w:r>
      <w:r>
        <w:t xml:space="preserve"> </w:t>
      </w:r>
      <w:r>
        <w:t xml:space="preserve">Landscapes</w:t>
      </w:r>
      <w:r>
        <w:t xml:space="preserve"> </w:t>
      </w:r>
      <w:r>
        <w:t xml:space="preserve">and</w:t>
      </w:r>
      <w:r>
        <w:t xml:space="preserve"> </w:t>
      </w:r>
      <w:r>
        <w:t xml:space="preserve">Habitat</w:t>
      </w:r>
      <w:r>
        <w:t xml:space="preserve"> </w:t>
      </w:r>
      <w:r>
        <w:t xml:space="preserve">Suitability</w:t>
      </w:r>
      <w:r>
        <w:t xml:space="preserve"> </w:t>
      </w:r>
      <w:r>
        <w:t xml:space="preserve">Scores</w:t>
      </w:r>
      <w:r>
        <w:t xml:space="preserve"> </w:t>
      </w:r>
      <w:r>
        <w:t xml:space="preserve">for</w:t>
      </w:r>
      <w:r>
        <w:t xml:space="preserve"> </w:t>
      </w:r>
      <w:r>
        <w:t xml:space="preserve">Diadromous</w:t>
      </w:r>
      <w:r>
        <w:t xml:space="preserve"> </w:t>
      </w:r>
      <w:r>
        <w:t xml:space="preserve">Fish</w:t>
      </w:r>
      <w:r>
        <w:t xml:space="preserve"> </w:t>
      </w:r>
      <w:r>
        <w:t xml:space="preserve">Restoration</w:t>
      </w:r>
      <w:r>
        <w:t xml:space="preserve"> </w:t>
      </w:r>
      <w:r>
        <w:t xml:space="preserve">in the</w:t>
      </w:r>
      <w:r>
        <w:t xml:space="preserve"> </w:t>
      </w:r>
      <w:r>
        <w:t xml:space="preserve">Susquehanna</w:t>
      </w:r>
      <w:r>
        <w:t xml:space="preserve"> </w:t>
      </w:r>
      <w:r>
        <w:t xml:space="preserve">River</w:t>
      </w:r>
      <w:r>
        <w:t xml:space="preserve"> </w:t>
      </w:r>
      <w:r>
        <w:t xml:space="preserve">Basin</w:t>
      </w:r>
      <w:r>
        <w:t xml:space="preserve">.”</w:t>
      </w:r>
      <w:r>
        <w:t xml:space="preserve"> </w:t>
      </w:r>
      <w:r>
        <w:rPr>
          <w:iCs/>
          <w:i/>
        </w:rPr>
        <w:t xml:space="preserve">North American Journal of Fisheries Management</w:t>
      </w:r>
      <w:r>
        <w:t xml:space="preserve"> </w:t>
      </w:r>
      <w:r>
        <w:t xml:space="preserve">28 (3): 906–18.</w:t>
      </w:r>
      <w:r>
        <w:t xml:space="preserve"> </w:t>
      </w:r>
      <w:hyperlink r:id="rId74">
        <w:r>
          <w:rPr>
            <w:rStyle w:val="Hyperlink"/>
          </w:rPr>
          <w:t xml:space="preserve">https://doi.org/10.1577/M06-120.1</w:t>
        </w:r>
      </w:hyperlink>
      <w:r>
        <w:t xml:space="preserve">.</w:t>
      </w:r>
    </w:p>
    <w:bookmarkEnd w:id="75"/>
    <w:bookmarkStart w:id="77" w:name="ref-kosa_processes_2001"/>
    <w:p>
      <w:pPr>
        <w:pStyle w:val="Bibliography"/>
      </w:pPr>
      <w:r>
        <w:t xml:space="preserve">Kosa, Jarrad T., and Martha E. Mather. 2001.</w:t>
      </w:r>
      <w:r>
        <w:t xml:space="preserve"> </w:t>
      </w:r>
      <w:r>
        <w:t xml:space="preserve">“Processes</w:t>
      </w:r>
      <w:r>
        <w:t xml:space="preserve"> </w:t>
      </w:r>
      <w:r>
        <w:t xml:space="preserve">Contributing</w:t>
      </w:r>
      <w:r>
        <w:t xml:space="preserve"> </w:t>
      </w:r>
      <w:r>
        <w:t xml:space="preserve">to</w:t>
      </w:r>
      <w:r>
        <w:t xml:space="preserve"> </w:t>
      </w:r>
      <w:r>
        <w:t xml:space="preserve">Variability</w:t>
      </w:r>
      <w:r>
        <w:t xml:space="preserve"> </w:t>
      </w:r>
      <w:r>
        <w:t xml:space="preserve">in</w:t>
      </w:r>
      <w:r>
        <w:t xml:space="preserve"> </w:t>
      </w:r>
      <w:r>
        <w:t xml:space="preserve">Regional</w:t>
      </w:r>
      <w:r>
        <w:t xml:space="preserve"> </w:t>
      </w:r>
      <w:r>
        <w:t xml:space="preserve">Patterns</w:t>
      </w:r>
      <w:r>
        <w:t xml:space="preserve"> </w:t>
      </w:r>
      <w:r>
        <w:t xml:space="preserve">of</w:t>
      </w:r>
      <w:r>
        <w:t xml:space="preserve"> </w:t>
      </w:r>
      <w:r>
        <w:t xml:space="preserve">Juvenile</w:t>
      </w:r>
      <w:r>
        <w:t xml:space="preserve"> </w:t>
      </w:r>
      <w:r>
        <w:t xml:space="preserve">River</w:t>
      </w:r>
      <w:r>
        <w:t xml:space="preserve"> </w:t>
      </w:r>
      <w:r>
        <w:t xml:space="preserve">Herring</w:t>
      </w:r>
      <w:r>
        <w:t xml:space="preserve"> </w:t>
      </w:r>
      <w:r>
        <w:t xml:space="preserve">Abundance</w:t>
      </w:r>
      <w:r>
        <w:t xml:space="preserve"> </w:t>
      </w:r>
      <w:r>
        <w:t xml:space="preserve">Across</w:t>
      </w:r>
      <w:r>
        <w:t xml:space="preserve"> </w:t>
      </w:r>
      <w:r>
        <w:t xml:space="preserve">Small</w:t>
      </w:r>
      <w:r>
        <w:t xml:space="preserve"> </w:t>
      </w:r>
      <w:r>
        <w:t xml:space="preserve">Coastal</w:t>
      </w:r>
      <w:r>
        <w:t xml:space="preserve"> </w:t>
      </w:r>
      <w:r>
        <w:t xml:space="preserve">Systems</w:t>
      </w:r>
      <w:r>
        <w:t xml:space="preserve">.”</w:t>
      </w:r>
      <w:r>
        <w:t xml:space="preserve"> </w:t>
      </w:r>
      <w:r>
        <w:rPr>
          <w:iCs/>
          <w:i/>
        </w:rPr>
        <w:t xml:space="preserve">Transactions of the American Fisheries Society</w:t>
      </w:r>
      <w:r>
        <w:t xml:space="preserve"> </w:t>
      </w:r>
      <w:r>
        <w:t xml:space="preserve">130 (4): 600–619.</w:t>
      </w:r>
      <w:r>
        <w:t xml:space="preserve"> </w:t>
      </w:r>
      <w:hyperlink r:id="rId76">
        <w:r>
          <w:rPr>
            <w:rStyle w:val="Hyperlink"/>
          </w:rPr>
          <w:t xml:space="preserve">https://doi.org/10.1577/1548-8659(2001)130&lt;0600:PCTVIR&gt;2.0.CO;2</w:t>
        </w:r>
      </w:hyperlink>
      <w:r>
        <w:t xml:space="preserve">.</w:t>
      </w:r>
    </w:p>
    <w:bookmarkEnd w:id="77"/>
    <w:bookmarkStart w:id="78" w:name="ref-laney_relationship_1997"/>
    <w:p>
      <w:pPr>
        <w:pStyle w:val="Bibliography"/>
      </w:pPr>
      <w:r>
        <w:t xml:space="preserve">Laney, R. Wilson. 1997.</w:t>
      </w:r>
      <w:r>
        <w:t xml:space="preserve"> </w:t>
      </w:r>
      <w:r>
        <w:t xml:space="preserve">“The</w:t>
      </w:r>
      <w:r>
        <w:t xml:space="preserve"> </w:t>
      </w:r>
      <w:r>
        <w:t xml:space="preserve">Relationship</w:t>
      </w:r>
      <w:r>
        <w:t xml:space="preserve"> </w:t>
      </w:r>
      <w:r>
        <w:t xml:space="preserve">of</w:t>
      </w:r>
      <w:r>
        <w:t xml:space="preserve"> </w:t>
      </w:r>
      <w:r>
        <w:t xml:space="preserve">Submerged</w:t>
      </w:r>
      <w:r>
        <w:t xml:space="preserve"> </w:t>
      </w:r>
      <w:r>
        <w:t xml:space="preserve">Aquatic</w:t>
      </w:r>
      <w:r>
        <w:t xml:space="preserve"> </w:t>
      </w:r>
      <w:r>
        <w:t xml:space="preserve">Vegetation</w:t>
      </w:r>
      <w:r>
        <w:t xml:space="preserve"> </w:t>
      </w:r>
      <w:r>
        <w:t xml:space="preserve">(</w:t>
      </w:r>
      <w:r>
        <w:t xml:space="preserve">SAV</w:t>
      </w:r>
      <w:r>
        <w:t xml:space="preserve">)</w:t>
      </w:r>
      <w:r>
        <w:t xml:space="preserve"> </w:t>
      </w:r>
      <w:r>
        <w:t xml:space="preserve">Ecological</w:t>
      </w:r>
      <w:r>
        <w:t xml:space="preserve"> </w:t>
      </w:r>
      <w:r>
        <w:t xml:space="preserve">Value</w:t>
      </w:r>
      <w:r>
        <w:t xml:space="preserve"> </w:t>
      </w:r>
      <w:r>
        <w:t xml:space="preserve">to</w:t>
      </w:r>
      <w:r>
        <w:t xml:space="preserve"> </w:t>
      </w:r>
      <w:r>
        <w:t xml:space="preserve">Species</w:t>
      </w:r>
      <w:r>
        <w:t xml:space="preserve"> </w:t>
      </w:r>
      <w:r>
        <w:t xml:space="preserve">Managed</w:t>
      </w:r>
      <w:r>
        <w:t xml:space="preserve"> </w:t>
      </w:r>
      <w:r>
        <w:t xml:space="preserve">by the</w:t>
      </w:r>
      <w:r>
        <w:t xml:space="preserve"> </w:t>
      </w:r>
      <w:r>
        <w:t xml:space="preserve">Atlantic</w:t>
      </w:r>
      <w:r>
        <w:t xml:space="preserve"> </w:t>
      </w:r>
      <w:r>
        <w:t xml:space="preserve">States</w:t>
      </w:r>
      <w:r>
        <w:t xml:space="preserve"> </w:t>
      </w:r>
      <w:r>
        <w:t xml:space="preserve">Marine</w:t>
      </w:r>
      <w:r>
        <w:t xml:space="preserve"> </w:t>
      </w:r>
      <w:r>
        <w:t xml:space="preserve">Fisheries</w:t>
      </w:r>
      <w:r>
        <w:t xml:space="preserve"> </w:t>
      </w:r>
      <w:r>
        <w:t xml:space="preserve">Commission</w:t>
      </w:r>
      <w:r>
        <w:t xml:space="preserve"> </w:t>
      </w:r>
      <w:r>
        <w:t xml:space="preserve">(</w:t>
      </w:r>
      <w:r>
        <w:t xml:space="preserve">ASMFC</w:t>
      </w:r>
      <w:r>
        <w:t xml:space="preserve">):</w:t>
      </w:r>
      <w:r>
        <w:t xml:space="preserve"> </w:t>
      </w:r>
      <w:r>
        <w:t xml:space="preserve">Summary</w:t>
      </w:r>
      <w:r>
        <w:t xml:space="preserve"> </w:t>
      </w:r>
      <w:r>
        <w:t xml:space="preserve">for the</w:t>
      </w:r>
      <w:r>
        <w:t xml:space="preserve"> </w:t>
      </w:r>
      <w:r>
        <w:t xml:space="preserve">ASMFC</w:t>
      </w:r>
      <w:r>
        <w:t xml:space="preserve"> </w:t>
      </w:r>
      <w:r>
        <w:t xml:space="preserve">SAV</w:t>
      </w:r>
      <w:r>
        <w:t xml:space="preserve"> </w:t>
      </w:r>
      <w:r>
        <w:t xml:space="preserve">Subcommittee</w:t>
      </w:r>
      <w:r>
        <w:t xml:space="preserve">.”</w:t>
      </w:r>
      <w:r>
        <w:t xml:space="preserve"> </w:t>
      </w:r>
      <w:r>
        <w:t xml:space="preserve">{ASMFC} {Habitat} {Management} {Series} \#1. South Atlantic Fisheries Resources Coordination Office, Raleigh, NC: U.S. Fish; Wildlife Service, Southeast Region, Southeast Region.</w:t>
      </w:r>
    </w:p>
    <w:bookmarkEnd w:id="78"/>
    <w:bookmarkStart w:id="80" w:name="ref-legett_daily_2021"/>
    <w:p>
      <w:pPr>
        <w:pStyle w:val="Bibliography"/>
      </w:pPr>
      <w:r>
        <w:t xml:space="preserve">Legett, Henry D., Adrian Jordaan, Allison H. Roy, John J. Sheppard, Marcelo Somos‐Valenzuela, and Michelle D. Staudinger. 2021.</w:t>
      </w:r>
      <w:r>
        <w:t xml:space="preserve"> </w:t>
      </w:r>
      <w:r>
        <w:t xml:space="preserve">“Daily</w:t>
      </w:r>
      <w:r>
        <w:t xml:space="preserve"> </w:t>
      </w:r>
      <w:r>
        <w:t xml:space="preserve">Patterns</w:t>
      </w:r>
      <w:r>
        <w:t xml:space="preserve"> </w:t>
      </w:r>
      <w:r>
        <w:t xml:space="preserve">of</w:t>
      </w:r>
      <w:r>
        <w:t xml:space="preserve"> </w:t>
      </w:r>
      <w:r>
        <w:t xml:space="preserve">River</w:t>
      </w:r>
      <w:r>
        <w:t xml:space="preserve"> </w:t>
      </w:r>
      <w:r>
        <w:t xml:space="preserve">Herring</w:t>
      </w:r>
      <w:r>
        <w:t xml:space="preserve"> </w:t>
      </w:r>
      <w:r>
        <w:t xml:space="preserve">(</w:t>
      </w:r>
      <w:r>
        <w:t xml:space="preserve"> </w:t>
      </w:r>
      <w:r>
        <w:rPr>
          <w:iCs/>
          <w:i/>
        </w:rPr>
        <w:t xml:space="preserve">Alosa</w:t>
      </w:r>
      <w:r>
        <w:t xml:space="preserve"> </w:t>
      </w:r>
      <w:r>
        <w:t xml:space="preserve">Spp.)</w:t>
      </w:r>
      <w:r>
        <w:t xml:space="preserve"> </w:t>
      </w:r>
      <w:r>
        <w:t xml:space="preserve">Spawning</w:t>
      </w:r>
      <w:r>
        <w:t xml:space="preserve"> </w:t>
      </w:r>
      <w:r>
        <w:t xml:space="preserve">Migrations</w:t>
      </w:r>
      <w:r>
        <w:t xml:space="preserve">:</w:t>
      </w:r>
      <w:r>
        <w:t xml:space="preserve"> </w:t>
      </w:r>
      <w:r>
        <w:t xml:space="preserve">Environmental</w:t>
      </w:r>
      <w:r>
        <w:t xml:space="preserve"> </w:t>
      </w:r>
      <w:r>
        <w:t xml:space="preserve">Drivers</w:t>
      </w:r>
      <w:r>
        <w:t xml:space="preserve"> </w:t>
      </w:r>
      <w:r>
        <w:t xml:space="preserve">and</w:t>
      </w:r>
      <w:r>
        <w:t xml:space="preserve"> </w:t>
      </w:r>
      <w:r>
        <w:t xml:space="preserve">Variation</w:t>
      </w:r>
      <w:r>
        <w:t xml:space="preserve"> </w:t>
      </w:r>
      <w:r>
        <w:t xml:space="preserve">Among</w:t>
      </w:r>
      <w:r>
        <w:t xml:space="preserve"> </w:t>
      </w:r>
      <w:r>
        <w:t xml:space="preserve">Coastal</w:t>
      </w:r>
      <w:r>
        <w:t xml:space="preserve"> </w:t>
      </w:r>
      <w:r>
        <w:t xml:space="preserve">Streams</w:t>
      </w:r>
      <w:r>
        <w:t xml:space="preserve"> </w:t>
      </w:r>
      <w:r>
        <w:t xml:space="preserve">in</w:t>
      </w:r>
      <w:r>
        <w:t xml:space="preserve"> </w:t>
      </w:r>
      <w:r>
        <w:t xml:space="preserve">Massachusetts</w:t>
      </w:r>
      <w:r>
        <w:t xml:space="preserve">.”</w:t>
      </w:r>
      <w:r>
        <w:t xml:space="preserve"> </w:t>
      </w:r>
      <w:r>
        <w:rPr>
          <w:iCs/>
          <w:i/>
        </w:rPr>
        <w:t xml:space="preserve">Transactions of the American Fisheries Society</w:t>
      </w:r>
      <w:r>
        <w:t xml:space="preserve"> </w:t>
      </w:r>
      <w:r>
        <w:t xml:space="preserve">150 (4): 501–13.</w:t>
      </w:r>
      <w:r>
        <w:t xml:space="preserve"> </w:t>
      </w:r>
      <w:hyperlink r:id="rId79">
        <w:r>
          <w:rPr>
            <w:rStyle w:val="Hyperlink"/>
          </w:rPr>
          <w:t xml:space="preserve">https://doi.org/10.1002/tafs.10301</w:t>
        </w:r>
      </w:hyperlink>
      <w:r>
        <w:t xml:space="preserve">.</w:t>
      </w:r>
    </w:p>
    <w:bookmarkEnd w:id="80"/>
    <w:bookmarkStart w:id="82" w:name="ref-lynch_projected_2015"/>
    <w:p>
      <w:pPr>
        <w:pStyle w:val="Bibliography"/>
      </w:pPr>
      <w:r>
        <w:t xml:space="preserve">Lynch, Patrick D., Janet A. Nye, Jonathan A. Hare, Charles A. Stock, Michael A. Alexander, James D. Scott, Kiersten L. Curti, and Katherine Drew. 2015.</w:t>
      </w:r>
      <w:r>
        <w:t xml:space="preserve"> </w:t>
      </w:r>
      <w:r>
        <w:t xml:space="preserve">“Projected Ocean Warming Creates a Conservation Challenge for River Herring Populations.”</w:t>
      </w:r>
      <w:r>
        <w:t xml:space="preserve"> </w:t>
      </w:r>
      <w:r>
        <w:rPr>
          <w:iCs/>
          <w:i/>
        </w:rPr>
        <w:t xml:space="preserve">ICES Journal of Marine Science</w:t>
      </w:r>
      <w:r>
        <w:t xml:space="preserve"> </w:t>
      </w:r>
      <w:r>
        <w:t xml:space="preserve">72 (2): 374–87.</w:t>
      </w:r>
      <w:r>
        <w:t xml:space="preserve"> </w:t>
      </w:r>
      <w:hyperlink r:id="rId81">
        <w:r>
          <w:rPr>
            <w:rStyle w:val="Hyperlink"/>
          </w:rPr>
          <w:t xml:space="preserve">https://doi.org/10.1093/icesjms/fsu134</w:t>
        </w:r>
      </w:hyperlink>
      <w:r>
        <w:t xml:space="preserve">.</w:t>
      </w:r>
    </w:p>
    <w:bookmarkEnd w:id="82"/>
    <w:bookmarkStart w:id="84" w:name="ref-mather_assessing_2012"/>
    <w:p>
      <w:pPr>
        <w:pStyle w:val="Bibliography"/>
      </w:pPr>
      <w:r>
        <w:t xml:space="preserve">Mather, Martha E., Holly J. Frank, Joseph M. Smith, Roxann D. Cormier, Robert M. Muth, and John T. Finn. 2012.</w:t>
      </w:r>
      <w:r>
        <w:t xml:space="preserve"> </w:t>
      </w:r>
      <w:r>
        <w:t xml:space="preserve">“Assessing</w:t>
      </w:r>
      <w:r>
        <w:t xml:space="preserve"> </w:t>
      </w:r>
      <w:r>
        <w:t xml:space="preserve">Freshwater</w:t>
      </w:r>
      <w:r>
        <w:t xml:space="preserve"> </w:t>
      </w:r>
      <w:r>
        <w:t xml:space="preserve">Habitat</w:t>
      </w:r>
      <w:r>
        <w:t xml:space="preserve"> </w:t>
      </w:r>
      <w:r>
        <w:t xml:space="preserve">of</w:t>
      </w:r>
      <w:r>
        <w:t xml:space="preserve"> </w:t>
      </w:r>
      <w:r>
        <w:t xml:space="preserve">Adult</w:t>
      </w:r>
      <w:r>
        <w:t xml:space="preserve"> </w:t>
      </w:r>
      <w:r>
        <w:t xml:space="preserve">Anadromous</w:t>
      </w:r>
      <w:r>
        <w:t xml:space="preserve"> </w:t>
      </w:r>
      <w:r>
        <w:t xml:space="preserve">Alewives</w:t>
      </w:r>
      <w:r>
        <w:t xml:space="preserve"> </w:t>
      </w:r>
      <w:r>
        <w:t xml:space="preserve">Using</w:t>
      </w:r>
      <w:r>
        <w:t xml:space="preserve"> </w:t>
      </w:r>
      <w:r>
        <w:t xml:space="preserve">Multiple</w:t>
      </w:r>
      <w:r>
        <w:t xml:space="preserve"> </w:t>
      </w:r>
      <w:r>
        <w:t xml:space="preserve">Approaches</w:t>
      </w:r>
      <w:r>
        <w:t xml:space="preserve">.”</w:t>
      </w:r>
      <w:r>
        <w:t xml:space="preserve"> </w:t>
      </w:r>
      <w:r>
        <w:rPr>
          <w:iCs/>
          <w:i/>
        </w:rPr>
        <w:t xml:space="preserve">Marine and Coastal Fisheries</w:t>
      </w:r>
      <w:r>
        <w:t xml:space="preserve"> </w:t>
      </w:r>
      <w:r>
        <w:t xml:space="preserve">4 (1): 188–200.</w:t>
      </w:r>
      <w:r>
        <w:t xml:space="preserve"> </w:t>
      </w:r>
      <w:hyperlink r:id="rId83">
        <w:r>
          <w:rPr>
            <w:rStyle w:val="Hyperlink"/>
          </w:rPr>
          <w:t xml:space="preserve">https://doi.org/10.1080/19425120.2012.675980</w:t>
        </w:r>
      </w:hyperlink>
      <w:r>
        <w:t xml:space="preserve">.</w:t>
      </w:r>
    </w:p>
    <w:bookmarkEnd w:id="84"/>
    <w:bookmarkStart w:id="86" w:name="ref-mccartin_new_2019"/>
    <w:p>
      <w:pPr>
        <w:pStyle w:val="Bibliography"/>
      </w:pPr>
      <w:r>
        <w:t xml:space="preserve">McCartin, Kellie, Adrian Jordaan, Matthew Sclafani, Robert Cerrato, and Michael G. Frisk. 2019.</w:t>
      </w:r>
      <w:r>
        <w:t xml:space="preserve"> </w:t>
      </w:r>
      <w:r>
        <w:t xml:space="preserve">“A</w:t>
      </w:r>
      <w:r>
        <w:t xml:space="preserve"> </w:t>
      </w:r>
      <w:r>
        <w:t xml:space="preserve">New</w:t>
      </w:r>
      <w:r>
        <w:t xml:space="preserve"> </w:t>
      </w:r>
      <w:r>
        <w:t xml:space="preserve">Paradigm</w:t>
      </w:r>
      <w:r>
        <w:t xml:space="preserve"> </w:t>
      </w:r>
      <w:r>
        <w:t xml:space="preserve">in</w:t>
      </w:r>
      <w:r>
        <w:t xml:space="preserve"> </w:t>
      </w:r>
      <w:r>
        <w:t xml:space="preserve">Alewife</w:t>
      </w:r>
      <w:r>
        <w:t xml:space="preserve"> </w:t>
      </w:r>
      <w:r>
        <w:t xml:space="preserve">Migration</w:t>
      </w:r>
      <w:r>
        <w:t xml:space="preserve">:</w:t>
      </w:r>
      <w:r>
        <w:t xml:space="preserve"> </w:t>
      </w:r>
      <w:r>
        <w:t xml:space="preserve">Oscillations</w:t>
      </w:r>
      <w:r>
        <w:t xml:space="preserve"> </w:t>
      </w:r>
      <w:r>
        <w:t xml:space="preserve">Between</w:t>
      </w:r>
      <w:r>
        <w:t xml:space="preserve"> </w:t>
      </w:r>
      <w:r>
        <w:t xml:space="preserve">Spawning</w:t>
      </w:r>
      <w:r>
        <w:t xml:space="preserve"> </w:t>
      </w:r>
      <w:r>
        <w:t xml:space="preserve">Grounds</w:t>
      </w:r>
      <w:r>
        <w:t xml:space="preserve"> </w:t>
      </w:r>
      <w:r>
        <w:t xml:space="preserve">and</w:t>
      </w:r>
      <w:r>
        <w:t xml:space="preserve"> </w:t>
      </w:r>
      <w:r>
        <w:t xml:space="preserve">Estuarine</w:t>
      </w:r>
      <w:r>
        <w:t xml:space="preserve"> </w:t>
      </w:r>
      <w:r>
        <w:t xml:space="preserve">Habitats</w:t>
      </w:r>
      <w:r>
        <w:t xml:space="preserve">.”</w:t>
      </w:r>
      <w:r>
        <w:t xml:space="preserve"> </w:t>
      </w:r>
      <w:r>
        <w:rPr>
          <w:iCs/>
          <w:i/>
        </w:rPr>
        <w:t xml:space="preserve">Transactions of the American Fisheries Society</w:t>
      </w:r>
      <w:r>
        <w:t xml:space="preserve"> </w:t>
      </w:r>
      <w:r>
        <w:t xml:space="preserve">148 (3): 605–19.</w:t>
      </w:r>
      <w:r>
        <w:t xml:space="preserve"> </w:t>
      </w:r>
      <w:hyperlink r:id="rId85">
        <w:r>
          <w:rPr>
            <w:rStyle w:val="Hyperlink"/>
          </w:rPr>
          <w:t xml:space="preserve">https://doi.org/10.1002/tafs.10155</w:t>
        </w:r>
      </w:hyperlink>
      <w:r>
        <w:t xml:space="preserve">.</w:t>
      </w:r>
    </w:p>
    <w:bookmarkEnd w:id="86"/>
    <w:bookmarkStart w:id="87" w:name="ref-mullen_species_1986"/>
    <w:p>
      <w:pPr>
        <w:pStyle w:val="Bibliography"/>
      </w:pPr>
      <w:r>
        <w:t xml:space="preserve">Mullen, D. M., C. W. Fay, and J. R. Moring. 1986.</w:t>
      </w:r>
      <w:r>
        <w:t xml:space="preserve"> </w:t>
      </w:r>
      <w:r>
        <w:t xml:space="preserve">“Species Profiles: Life Histories and Environmental Requirements of Coastal Fishes and Invertebrates (</w:t>
      </w:r>
      <w:r>
        <w:t xml:space="preserve">North</w:t>
      </w:r>
      <w:r>
        <w:t xml:space="preserve"> </w:t>
      </w:r>
      <w:r>
        <w:t xml:space="preserve">Atlantic</w:t>
      </w:r>
      <w:r>
        <w:t xml:space="preserve">)–Alewife/Blueback Herring.”</w:t>
      </w:r>
      <w:r>
        <w:t xml:space="preserve"> </w:t>
      </w:r>
      <w:r>
        <w:t xml:space="preserve">U.{S}. {Fish} and {Wildlife} {Service} {Biological} {Report} 82(11.56). USACE.</w:t>
      </w:r>
    </w:p>
    <w:bookmarkEnd w:id="87"/>
    <w:bookmarkStart w:id="89" w:name="X682a59c319a78036dc5258a44e1fc2fe3fd02e1"/>
    <w:p>
      <w:pPr>
        <w:pStyle w:val="Bibliography"/>
      </w:pPr>
      <w:r>
        <w:t xml:space="preserve">National Marine Fisheries Service, (NMFS). 2009.</w:t>
      </w:r>
      <w:r>
        <w:t xml:space="preserve"> </w:t>
      </w:r>
      <w:r>
        <w:t xml:space="preserve">“Species of Concern: River Herring.”</w:t>
      </w:r>
      <w:r>
        <w:t xml:space="preserve"> </w:t>
      </w:r>
      <w:hyperlink r:id="rId88">
        <w:r>
          <w:rPr>
            <w:rStyle w:val="Hyperlink"/>
          </w:rPr>
          <w:t xml:space="preserve">nmfs.noaa.gov/pr/species/concern/</w:t>
        </w:r>
      </w:hyperlink>
      <w:r>
        <w:t xml:space="preserve">.</w:t>
      </w:r>
    </w:p>
    <w:bookmarkEnd w:id="89"/>
    <w:bookmarkStart w:id="90" w:name="X728fbbecf457d9c73fefbc96154056a28c55738"/>
    <w:p>
      <w:pPr>
        <w:pStyle w:val="Bibliography"/>
      </w:pPr>
      <w:r>
        <w:t xml:space="preserve">———. 2013.</w:t>
      </w:r>
      <w:r>
        <w:t xml:space="preserve"> </w:t>
      </w:r>
      <w:r>
        <w:t xml:space="preserve">“Endangered and Threatened Wildlife and Plants; Endangered Species Act Listing Determination for Alewife and Blueback Herring.”</w:t>
      </w:r>
    </w:p>
    <w:bookmarkEnd w:id="90"/>
    <w:bookmarkStart w:id="91" w:name="X7765b32e374b99c89a8e08c582ceaffcdeee042"/>
    <w:p>
      <w:pPr>
        <w:pStyle w:val="Bibliography"/>
      </w:pPr>
      <w:r>
        <w:t xml:space="preserve">———. 2019.</w:t>
      </w:r>
      <w:r>
        <w:t xml:space="preserve"> </w:t>
      </w:r>
      <w:r>
        <w:t xml:space="preserve">“Not</w:t>
      </w:r>
      <w:r>
        <w:t xml:space="preserve"> </w:t>
      </w:r>
      <w:r>
        <w:t xml:space="preserve">Warented</w:t>
      </w:r>
      <w:r>
        <w:t xml:space="preserve"> </w:t>
      </w:r>
      <w:r>
        <w:t xml:space="preserve">Listing</w:t>
      </w:r>
      <w:r>
        <w:t xml:space="preserve"> </w:t>
      </w:r>
      <w:r>
        <w:t xml:space="preserve">Determination</w:t>
      </w:r>
      <w:r>
        <w:t xml:space="preserve">.”</w:t>
      </w:r>
    </w:p>
    <w:bookmarkEnd w:id="91"/>
    <w:bookmarkStart w:id="93" w:name="ref-oconnell_spawning_1997"/>
    <w:p>
      <w:pPr>
        <w:pStyle w:val="Bibliography"/>
      </w:pPr>
      <w:r>
        <w:t xml:space="preserve">O’Connell, Ann M. (Uzee), and Paul L. Angermeier. 1997.</w:t>
      </w:r>
      <w:r>
        <w:t xml:space="preserve"> </w:t>
      </w:r>
      <w:r>
        <w:t xml:space="preserve">“Spawning</w:t>
      </w:r>
      <w:r>
        <w:t xml:space="preserve"> </w:t>
      </w:r>
      <w:r>
        <w:t xml:space="preserve">Location</w:t>
      </w:r>
      <w:r>
        <w:t xml:space="preserve"> </w:t>
      </w:r>
      <w:r>
        <w:t xml:space="preserve">and</w:t>
      </w:r>
      <w:r>
        <w:t xml:space="preserve"> </w:t>
      </w:r>
      <w:r>
        <w:t xml:space="preserve">Distribution</w:t>
      </w:r>
      <w:r>
        <w:t xml:space="preserve"> </w:t>
      </w:r>
      <w:r>
        <w:t xml:space="preserve">of</w:t>
      </w:r>
      <w:r>
        <w:t xml:space="preserve"> </w:t>
      </w:r>
      <w:r>
        <w:t xml:space="preserve">Early</w:t>
      </w:r>
      <w:r>
        <w:t xml:space="preserve"> </w:t>
      </w:r>
      <w:r>
        <w:t xml:space="preserve">Life</w:t>
      </w:r>
      <w:r>
        <w:t xml:space="preserve"> </w:t>
      </w:r>
      <w:r>
        <w:t xml:space="preserve">Stages</w:t>
      </w:r>
      <w:r>
        <w:t xml:space="preserve"> </w:t>
      </w:r>
      <w:r>
        <w:t xml:space="preserve">of</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Estuaries</w:t>
      </w:r>
      <w:r>
        <w:t xml:space="preserve"> </w:t>
      </w:r>
      <w:r>
        <w:t xml:space="preserve">20 (4): 779.</w:t>
      </w:r>
      <w:r>
        <w:t xml:space="preserve"> </w:t>
      </w:r>
      <w:hyperlink r:id="rId92">
        <w:r>
          <w:rPr>
            <w:rStyle w:val="Hyperlink"/>
          </w:rPr>
          <w:t xml:space="preserve">https://doi.org/10.2307/1352251</w:t>
        </w:r>
      </w:hyperlink>
      <w:r>
        <w:t xml:space="preserve">.</w:t>
      </w:r>
    </w:p>
    <w:bookmarkEnd w:id="93"/>
    <w:bookmarkStart w:id="95" w:name="ref-oconnell_habitat_1999"/>
    <w:p>
      <w:pPr>
        <w:pStyle w:val="Bibliography"/>
      </w:pPr>
      <w:r>
        <w:t xml:space="preserve">———. 1999.</w:t>
      </w:r>
      <w:r>
        <w:t xml:space="preserve"> </w:t>
      </w:r>
      <w:r>
        <w:t xml:space="preserve">“Habitat</w:t>
      </w:r>
      <w:r>
        <w:t xml:space="preserve"> </w:t>
      </w:r>
      <w:r>
        <w:t xml:space="preserve">Relationships</w:t>
      </w:r>
      <w:r>
        <w:t xml:space="preserve"> </w:t>
      </w:r>
      <w:r>
        <w:t xml:space="preserve">for</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Spawning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Journal of Freshwater Ecology</w:t>
      </w:r>
      <w:r>
        <w:t xml:space="preserve"> </w:t>
      </w:r>
      <w:r>
        <w:t xml:space="preserve">14 (3): 357–70.</w:t>
      </w:r>
      <w:r>
        <w:t xml:space="preserve"> </w:t>
      </w:r>
      <w:hyperlink r:id="rId94">
        <w:r>
          <w:rPr>
            <w:rStyle w:val="Hyperlink"/>
          </w:rPr>
          <w:t xml:space="preserve">https://doi.org/10.1080/02705060.1999.9663691</w:t>
        </w:r>
      </w:hyperlink>
      <w:r>
        <w:t xml:space="preserve">.</w:t>
      </w:r>
    </w:p>
    <w:bookmarkEnd w:id="95"/>
    <w:bookmarkStart w:id="97" w:name="ref-otto_lethal_1976"/>
    <w:p>
      <w:pPr>
        <w:pStyle w:val="Bibliography"/>
      </w:pPr>
      <w:r>
        <w:t xml:space="preserve">Otto, Robert G., Max A. Kitchel, and John O’Hara Rice. 1976.</w:t>
      </w:r>
      <w:r>
        <w:t xml:space="preserve"> </w:t>
      </w:r>
      <w:r>
        <w:t xml:space="preserve">“Lethal and</w:t>
      </w:r>
      <w:r>
        <w:t xml:space="preserve"> </w:t>
      </w:r>
      <w:r>
        <w:t xml:space="preserve">Preferred</w:t>
      </w:r>
      <w:r>
        <w:t xml:space="preserve"> </w:t>
      </w:r>
      <w:r>
        <w:t xml:space="preserve">Temperatures</w:t>
      </w:r>
      <w:r>
        <w:t xml:space="preserve"> </w:t>
      </w:r>
      <w:r>
        <w:t xml:space="preserve">of the</w:t>
      </w:r>
      <w:r>
        <w:t xml:space="preserve"> </w:t>
      </w:r>
      <w:r>
        <w:t xml:space="preserve">Alewife</w:t>
      </w:r>
      <w:r>
        <w:t xml:space="preserve"> </w:t>
      </w:r>
      <w:r>
        <w:t xml:space="preserve">(</w:t>
      </w:r>
      <w:r>
        <w:t xml:space="preserve">Alosa</w:t>
      </w:r>
      <w:r>
        <w:t xml:space="preserve"> </w:t>
      </w:r>
      <w:r>
        <w:t xml:space="preserve">Pseudoharengus) in</w:t>
      </w:r>
      <w:r>
        <w:t xml:space="preserve"> </w:t>
      </w:r>
      <w:r>
        <w:t xml:space="preserve">Lake</w:t>
      </w:r>
      <w:r>
        <w:t xml:space="preserve"> </w:t>
      </w:r>
      <w:r>
        <w:t xml:space="preserve">Michigan</w:t>
      </w:r>
      <w:r>
        <w:t xml:space="preserve">.”</w:t>
      </w:r>
      <w:r>
        <w:t xml:space="preserve"> </w:t>
      </w:r>
      <w:r>
        <w:rPr>
          <w:iCs/>
          <w:i/>
        </w:rPr>
        <w:t xml:space="preserve">Transactions of the American Fisheries Society</w:t>
      </w:r>
      <w:r>
        <w:t xml:space="preserve"> </w:t>
      </w:r>
      <w:r>
        <w:t xml:space="preserve">105 (1): 96–106.</w:t>
      </w:r>
      <w:r>
        <w:t xml:space="preserve"> </w:t>
      </w:r>
      <w:hyperlink r:id="rId96">
        <w:r>
          <w:rPr>
            <w:rStyle w:val="Hyperlink"/>
          </w:rPr>
          <w:t xml:space="preserve">https://doi.org/10.1577/1548-8659(1976)105&lt;96:LAPTOT&gt;2.0.CO;2</w:t>
        </w:r>
      </w:hyperlink>
      <w:r>
        <w:t xml:space="preserve">.</w:t>
      </w:r>
    </w:p>
    <w:bookmarkEnd w:id="97"/>
    <w:bookmarkStart w:id="99" w:name="ref-overton_spatial_2012"/>
    <w:p>
      <w:pPr>
        <w:pStyle w:val="Bibliography"/>
      </w:pPr>
      <w:r>
        <w:t xml:space="preserve">Overton, Anthony S., Nicholas A. Jones, and Roger Rulifson. 2012.</w:t>
      </w:r>
      <w:r>
        <w:t xml:space="preserve"> </w:t>
      </w:r>
      <w:r>
        <w:t xml:space="preserve">“Spatial and</w:t>
      </w:r>
      <w:r>
        <w:t xml:space="preserve"> </w:t>
      </w:r>
      <w:r>
        <w:t xml:space="preserve">Temporal</w:t>
      </w:r>
      <w:r>
        <w:t xml:space="preserve"> </w:t>
      </w:r>
      <w:r>
        <w:t xml:space="preserve">Variability</w:t>
      </w:r>
      <w:r>
        <w:t xml:space="preserve"> </w:t>
      </w:r>
      <w:r>
        <w:t xml:space="preserve">in</w:t>
      </w:r>
      <w:r>
        <w:t xml:space="preserve"> </w:t>
      </w:r>
      <w:r>
        <w:t xml:space="preserve">Instantaneous</w:t>
      </w:r>
      <w:r>
        <w:t xml:space="preserve"> </w:t>
      </w:r>
      <w:r>
        <w:t xml:space="preserve">Growth</w:t>
      </w:r>
      <w:r>
        <w:t xml:space="preserve">,</w:t>
      </w:r>
      <w:r>
        <w:t xml:space="preserve"> </w:t>
      </w:r>
      <w:r>
        <w:t xml:space="preserve">Mortality</w:t>
      </w:r>
      <w:r>
        <w:t xml:space="preserve">, and</w:t>
      </w:r>
      <w:r>
        <w:t xml:space="preserve"> </w:t>
      </w:r>
      <w:r>
        <w:t xml:space="preserve">Recruitment</w:t>
      </w:r>
      <w:r>
        <w:t xml:space="preserve"> </w:t>
      </w:r>
      <w:r>
        <w:t xml:space="preserve">of</w:t>
      </w:r>
      <w:r>
        <w:t xml:space="preserve"> </w:t>
      </w:r>
      <w:r>
        <w:t xml:space="preserve">Larval</w:t>
      </w:r>
      <w:r>
        <w:t xml:space="preserve"> </w:t>
      </w:r>
      <w:r>
        <w:t xml:space="preserve">River</w:t>
      </w:r>
      <w:r>
        <w:t xml:space="preserve"> </w:t>
      </w:r>
      <w:r>
        <w:t xml:space="preserve">Herring</w:t>
      </w:r>
      <w:r>
        <w:t xml:space="preserve"> </w:t>
      </w:r>
      <w:r>
        <w:t xml:space="preserve">in</w:t>
      </w:r>
      <w:r>
        <w:t xml:space="preserve"> </w:t>
      </w:r>
      <w:r>
        <w:t xml:space="preserve">Tar</w:t>
      </w:r>
      <w:r>
        <w:t xml:space="preserve">–</w:t>
      </w:r>
      <w:r>
        <w:t xml:space="preserve">Pamlico</w:t>
      </w:r>
      <w:r>
        <w:t xml:space="preserve"> </w:t>
      </w:r>
      <w:r>
        <w:t xml:space="preserve">River</w:t>
      </w:r>
      <w:r>
        <w:t xml:space="preserve">,</w:t>
      </w:r>
      <w:r>
        <w:t xml:space="preserve"> </w:t>
      </w:r>
      <w:r>
        <w:t xml:space="preserve">North</w:t>
      </w:r>
      <w:r>
        <w:t xml:space="preserve"> </w:t>
      </w:r>
      <w:r>
        <w:t xml:space="preserve">Carolina</w:t>
      </w:r>
      <w:r>
        <w:t xml:space="preserve">.”</w:t>
      </w:r>
      <w:r>
        <w:t xml:space="preserve"> </w:t>
      </w:r>
      <w:r>
        <w:rPr>
          <w:iCs/>
          <w:i/>
        </w:rPr>
        <w:t xml:space="preserve">Marine and Coastal Fisheries</w:t>
      </w:r>
      <w:r>
        <w:t xml:space="preserve"> </w:t>
      </w:r>
      <w:r>
        <w:t xml:space="preserve">4 (1): 218–27.</w:t>
      </w:r>
      <w:r>
        <w:t xml:space="preserve"> </w:t>
      </w:r>
      <w:hyperlink r:id="rId98">
        <w:r>
          <w:rPr>
            <w:rStyle w:val="Hyperlink"/>
          </w:rPr>
          <w:t xml:space="preserve">https://doi.org/10.1080/19425120.2012.675976</w:t>
        </w:r>
      </w:hyperlink>
      <w:r>
        <w:t xml:space="preserve">.</w:t>
      </w:r>
    </w:p>
    <w:bookmarkEnd w:id="99"/>
    <w:bookmarkStart w:id="101" w:name="ref-pardue_habitat_1983"/>
    <w:p>
      <w:pPr>
        <w:pStyle w:val="Bibliography"/>
      </w:pPr>
      <w:r>
        <w:t xml:space="preserve">Pardue, Garland. 1983.</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w:t>
      </w:r>
      <w:r>
        <w:t xml:space="preserve"> </w:t>
      </w:r>
      <w:r>
        <w:t xml:space="preserve">{FWS}/{OBS} 82/10.58. Department of Interior, Fish; Wildlife Service.</w:t>
      </w:r>
      <w:r>
        <w:t xml:space="preserve"> </w:t>
      </w:r>
      <w:hyperlink r:id="rId100">
        <w:r>
          <w:rPr>
            <w:rStyle w:val="Hyperlink"/>
          </w:rPr>
          <w:t xml:space="preserve">https://books.google.com/books?hl=en&amp;lr=&amp;id=WpTBLRItqHYC&amp;oi=fnd&amp;pg=PR6&amp;dq=Habitat+Suitability+for+Alewives&amp;ots=Rh70Hi2dbQ&amp;sig=mWMhRZ5FcP--mJX1NxJuFuZkhoM#v=onepage&amp;q=Habitat%20Suitability%20for%20Alewives&amp;f=false</w:t>
        </w:r>
      </w:hyperlink>
      <w:r>
        <w:t xml:space="preserve">.</w:t>
      </w:r>
    </w:p>
    <w:bookmarkEnd w:id="101"/>
    <w:bookmarkStart w:id="102" w:name="ref-reback_survey_2004"/>
    <w:p>
      <w:pPr>
        <w:pStyle w:val="Bibliography"/>
      </w:pPr>
      <w:r>
        <w:t xml:space="preserve">Reback, Kenneth E., Phillips Brady, Katherine D. McLaughlin, and Cheryl Milliken. 2004.</w:t>
      </w:r>
      <w:r>
        <w:t xml:space="preserve"> </w:t>
      </w:r>
      <w:r>
        <w:t xml:space="preserve">“A</w:t>
      </w:r>
      <w:r>
        <w:t xml:space="preserve"> </w:t>
      </w:r>
      <w:r>
        <w:t xml:space="preserve">Survey</w:t>
      </w:r>
      <w:r>
        <w:t xml:space="preserve"> </w:t>
      </w:r>
      <w:r>
        <w:t xml:space="preserve">of</w:t>
      </w:r>
      <w:r>
        <w:t xml:space="preserve"> </w:t>
      </w:r>
      <w:r>
        <w:t xml:space="preserve">Anadromous</w:t>
      </w:r>
      <w:r>
        <w:t xml:space="preserve"> </w:t>
      </w:r>
      <w:r>
        <w:t xml:space="preserve">Fish</w:t>
      </w:r>
      <w:r>
        <w:t xml:space="preserve"> </w:t>
      </w:r>
      <w:r>
        <w:t xml:space="preserve">Passage</w:t>
      </w:r>
      <w:r>
        <w:t xml:space="preserve"> </w:t>
      </w:r>
      <w:r>
        <w:t xml:space="preserve">in</w:t>
      </w:r>
      <w:r>
        <w:t xml:space="preserve"> </w:t>
      </w:r>
      <w:r>
        <w:t xml:space="preserve">Coastal</w:t>
      </w:r>
      <w:r>
        <w:t xml:space="preserve"> </w:t>
      </w:r>
      <w:r>
        <w:t xml:space="preserve">Massachusetts</w:t>
      </w:r>
      <w:r>
        <w:t xml:space="preserve">.</w:t>
      </w:r>
      <w:r>
        <w:t xml:space="preserve"> </w:t>
      </w:r>
      <w:r>
        <w:t xml:space="preserve">Part</w:t>
      </w:r>
      <w:r>
        <w:t xml:space="preserve"> </w:t>
      </w:r>
      <w:r>
        <w:t xml:space="preserve">1,</w:t>
      </w:r>
      <w:r>
        <w:t xml:space="preserve"> </w:t>
      </w:r>
      <w:r>
        <w:t xml:space="preserve">Southern</w:t>
      </w:r>
      <w:r>
        <w:t xml:space="preserve"> </w:t>
      </w:r>
      <w:r>
        <w:t xml:space="preserve">Massachusetts</w:t>
      </w:r>
      <w:r>
        <w:t xml:space="preserve">.”</w:t>
      </w:r>
      <w:r>
        <w:t xml:space="preserve"> </w:t>
      </w:r>
      <w:r>
        <w:t xml:space="preserve">Massachusetts: Massachusetts Division of Marine Fisheries.</w:t>
      </w:r>
    </w:p>
    <w:bookmarkEnd w:id="102"/>
    <w:bookmarkStart w:id="104" w:name="ref-richkus_response_1975"/>
    <w:p>
      <w:pPr>
        <w:pStyle w:val="Bibliography"/>
      </w:pPr>
      <w:r>
        <w:t xml:space="preserve">Richkus, William A. 1975.</w:t>
      </w:r>
      <w:r>
        <w:t xml:space="preserve"> </w:t>
      </w:r>
      <w:r>
        <w:t xml:space="preserve">“The</w:t>
      </w:r>
      <w:r>
        <w:t xml:space="preserve"> </w:t>
      </w:r>
      <w:r>
        <w:t xml:space="preserve">Response</w:t>
      </w:r>
      <w:r>
        <w:t xml:space="preserve"> </w:t>
      </w:r>
      <w:r>
        <w:t xml:space="preserve">of</w:t>
      </w:r>
      <w:r>
        <w:t xml:space="preserve"> </w:t>
      </w:r>
      <w:r>
        <w:t xml:space="preserve">Juvenile</w:t>
      </w:r>
      <w:r>
        <w:t xml:space="preserve"> </w:t>
      </w:r>
      <w:r>
        <w:t xml:space="preserve">Alewives</w:t>
      </w:r>
      <w:r>
        <w:t xml:space="preserve"> </w:t>
      </w:r>
      <w:r>
        <w:t xml:space="preserve">to</w:t>
      </w:r>
      <w:r>
        <w:t xml:space="preserve"> </w:t>
      </w:r>
      <w:r>
        <w:t xml:space="preserve">Water</w:t>
      </w:r>
      <w:r>
        <w:t xml:space="preserve"> </w:t>
      </w:r>
      <w:r>
        <w:t xml:space="preserve">Currents</w:t>
      </w:r>
      <w:r>
        <w:t xml:space="preserve"> </w:t>
      </w:r>
      <w:r>
        <w:t xml:space="preserve">in an</w:t>
      </w:r>
      <w:r>
        <w:t xml:space="preserve"> </w:t>
      </w:r>
      <w:r>
        <w:t xml:space="preserve">Experimental</w:t>
      </w:r>
      <w:r>
        <w:t xml:space="preserve"> </w:t>
      </w:r>
      <w:r>
        <w:t xml:space="preserve">Chamber</w:t>
      </w:r>
      <w:r>
        <w:t xml:space="preserve">.”</w:t>
      </w:r>
      <w:r>
        <w:t xml:space="preserve"> </w:t>
      </w:r>
      <w:r>
        <w:rPr>
          <w:iCs/>
          <w:i/>
        </w:rPr>
        <w:t xml:space="preserve">Transactions of the American Fisheries Society</w:t>
      </w:r>
      <w:r>
        <w:t xml:space="preserve"> </w:t>
      </w:r>
      <w:r>
        <w:t xml:space="preserve">104 (3): 494–98.</w:t>
      </w:r>
      <w:r>
        <w:t xml:space="preserve"> </w:t>
      </w:r>
      <w:hyperlink r:id="rId103">
        <w:r>
          <w:rPr>
            <w:rStyle w:val="Hyperlink"/>
          </w:rPr>
          <w:t xml:space="preserve">https://doi.org/10.1577/1548-8659(1975)104&lt;494:TROJAT&gt;2.0.CO;2</w:t>
        </w:r>
      </w:hyperlink>
      <w:r>
        <w:t xml:space="preserve">.</w:t>
      </w:r>
    </w:p>
    <w:bookmarkEnd w:id="104"/>
    <w:bookmarkStart w:id="106" w:name="ref-smith_overlapping_2015"/>
    <w:p>
      <w:pPr>
        <w:pStyle w:val="Bibliography"/>
      </w:pPr>
      <w:r>
        <w:t xml:space="preserve">Smith, M. Chad, and Roger A. Rulifson. 2015.</w:t>
      </w:r>
      <w:r>
        <w:t xml:space="preserve"> </w:t>
      </w:r>
      <w:r>
        <w:t xml:space="preserve">“Overlapping</w:t>
      </w:r>
      <w:r>
        <w:t xml:space="preserve"> </w:t>
      </w:r>
      <w:r>
        <w:t xml:space="preserve">Habitat</w:t>
      </w:r>
      <w:r>
        <w:t xml:space="preserve"> </w:t>
      </w:r>
      <w:r>
        <w:t xml:space="preserve">Use</w:t>
      </w:r>
      <w:r>
        <w:t xml:space="preserve"> </w:t>
      </w:r>
      <w:r>
        <w:t xml:space="preserve">of</w:t>
      </w:r>
      <w:r>
        <w:t xml:space="preserve"> </w:t>
      </w:r>
      <w:r>
        <w:t xml:space="preserve">Multiple</w:t>
      </w:r>
      <w:r>
        <w:t xml:space="preserve"> </w:t>
      </w:r>
      <w:r>
        <w:t xml:space="preserve">Anadromous</w:t>
      </w:r>
      <w:r>
        <w:t xml:space="preserve"> </w:t>
      </w:r>
      <w:r>
        <w:t xml:space="preserve">Fish</w:t>
      </w:r>
      <w:r>
        <w:t xml:space="preserve"> </w:t>
      </w:r>
      <w:r>
        <w:t xml:space="preserve">Species</w:t>
      </w:r>
      <w:r>
        <w:t xml:space="preserve"> </w:t>
      </w:r>
      <w:r>
        <w:t xml:space="preserve">in a</w:t>
      </w:r>
      <w:r>
        <w:t xml:space="preserve"> </w:t>
      </w:r>
      <w:r>
        <w:t xml:space="preserve">Restricted</w:t>
      </w:r>
      <w:r>
        <w:t xml:space="preserve"> </w:t>
      </w:r>
      <w:r>
        <w:t xml:space="preserve">Coastal</w:t>
      </w:r>
      <w:r>
        <w:t xml:space="preserve"> </w:t>
      </w:r>
      <w:r>
        <w:t xml:space="preserve">Watershed</w:t>
      </w:r>
      <w:r>
        <w:t xml:space="preserve">.”</w:t>
      </w:r>
      <w:r>
        <w:t xml:space="preserve"> </w:t>
      </w:r>
      <w:r>
        <w:rPr>
          <w:iCs/>
          <w:i/>
        </w:rPr>
        <w:t xml:space="preserve">Transactions of the American Fisheries Society</w:t>
      </w:r>
      <w:r>
        <w:t xml:space="preserve"> </w:t>
      </w:r>
      <w:r>
        <w:t xml:space="preserve">144 (6): 1173–83.</w:t>
      </w:r>
      <w:r>
        <w:t xml:space="preserve"> </w:t>
      </w:r>
      <w:hyperlink r:id="rId105">
        <w:r>
          <w:rPr>
            <w:rStyle w:val="Hyperlink"/>
          </w:rPr>
          <w:t xml:space="preserve">https://doi.org/10.1080/00028487.2015.1074617</w:t>
        </w:r>
      </w:hyperlink>
      <w:r>
        <w:t xml:space="preserve">.</w:t>
      </w:r>
    </w:p>
    <w:bookmarkEnd w:id="106"/>
    <w:bookmarkStart w:id="108" w:name="ref-tommasi_effect_2015"/>
    <w:p>
      <w:pPr>
        <w:pStyle w:val="Bibliography"/>
      </w:pPr>
      <w:r>
        <w:t xml:space="preserve">Tommasi, Désirée, Janet Nye, Charles Stock, Jonathan A. Hare, Michael Alexander, and Katie Drew. 2015.</w:t>
      </w:r>
      <w:r>
        <w:t xml:space="preserve"> </w:t>
      </w:r>
      <w:r>
        <w:t xml:space="preserve">“Effect of Environmental Conditions on Juvenile Recruitment of Alewife (</w:t>
      </w:r>
      <w:r>
        <w:t xml:space="preserve"> </w:t>
      </w:r>
      <w:r>
        <w:rPr>
          <w:iCs/>
          <w:i/>
        </w:rPr>
        <w:t xml:space="preserve">Alosa</w:t>
      </w:r>
      <w:r>
        <w:rPr>
          <w:iCs/>
          <w:i/>
        </w:rPr>
        <w:t xml:space="preserve"> </w:t>
      </w:r>
      <w:r>
        <w:rPr>
          <w:iCs/>
          <w:i/>
        </w:rPr>
        <w:t xml:space="preserve">Pseudoharengus</w:t>
      </w:r>
      <w:r>
        <w:t xml:space="preserve"> </w:t>
      </w:r>
      <w:r>
        <w:t xml:space="preserve">) and Blueback Herring (</w:t>
      </w:r>
      <w:r>
        <w:t xml:space="preserve"> </w:t>
      </w:r>
      <w:r>
        <w:rPr>
          <w:iCs/>
          <w:i/>
        </w:rPr>
        <w:t xml:space="preserve">Alosa</w:t>
      </w:r>
      <w:r>
        <w:rPr>
          <w:iCs/>
          <w:i/>
        </w:rPr>
        <w:t xml:space="preserve"> </w:t>
      </w:r>
      <w:r>
        <w:rPr>
          <w:iCs/>
          <w:i/>
        </w:rPr>
        <w:t xml:space="preserve">Aestivalis</w:t>
      </w:r>
      <w:r>
        <w:t xml:space="preserve"> </w:t>
      </w:r>
      <w:r>
        <w:t xml:space="preserve">) in Fresh Water: A Coastwide Perspective.”</w:t>
      </w:r>
      <w:r>
        <w:t xml:space="preserve"> </w:t>
      </w:r>
      <w:r>
        <w:t xml:space="preserve">Edited by Keith Tierney.</w:t>
      </w:r>
      <w:r>
        <w:t xml:space="preserve"> </w:t>
      </w:r>
      <w:r>
        <w:rPr>
          <w:iCs/>
          <w:i/>
        </w:rPr>
        <w:t xml:space="preserve">Canadian Journal of Fisheries and Aquatic Sciences</w:t>
      </w:r>
      <w:r>
        <w:t xml:space="preserve"> </w:t>
      </w:r>
      <w:r>
        <w:t xml:space="preserve">72 (7): 1037–47.</w:t>
      </w:r>
      <w:r>
        <w:t xml:space="preserve"> </w:t>
      </w:r>
      <w:hyperlink r:id="rId107">
        <w:r>
          <w:rPr>
            <w:rStyle w:val="Hyperlink"/>
          </w:rPr>
          <w:t xml:space="preserve">https://doi.org/10.1139/cjfas-2014-0259</w:t>
        </w:r>
      </w:hyperlink>
      <w:r>
        <w:t xml:space="preserve">.</w:t>
      </w:r>
    </w:p>
    <w:bookmarkEnd w:id="108"/>
    <w:bookmarkStart w:id="110" w:name="ref-turner_juvenile_2016"/>
    <w:p>
      <w:pPr>
        <w:pStyle w:val="Bibliography"/>
      </w:pPr>
      <w:r>
        <w:t xml:space="preserve">Turner, Sara M., and Karin E. Limburg. 2016.</w:t>
      </w:r>
      <w:r>
        <w:t xml:space="preserve"> </w:t>
      </w:r>
      <w:r>
        <w:t xml:space="preserve">“Juvenile River Herring Habitat Use and Marine Emigration Trends: Comparing Populations.”</w:t>
      </w:r>
      <w:r>
        <w:t xml:space="preserve"> </w:t>
      </w:r>
      <w:r>
        <w:rPr>
          <w:iCs/>
          <w:i/>
        </w:rPr>
        <w:t xml:space="preserve">Oecologia</w:t>
      </w:r>
      <w:r>
        <w:t xml:space="preserve"> </w:t>
      </w:r>
      <w:r>
        <w:t xml:space="preserve">180 (1): 77–89.</w:t>
      </w:r>
      <w:r>
        <w:t xml:space="preserve"> </w:t>
      </w:r>
      <w:hyperlink r:id="rId109">
        <w:r>
          <w:rPr>
            <w:rStyle w:val="Hyperlink"/>
          </w:rPr>
          <w:t xml:space="preserve">https://doi.org/10.1007/s00442-015-3443-y</w:t>
        </w:r>
      </w:hyperlink>
      <w:r>
        <w:t xml:space="preserve">.</w:t>
      </w:r>
    </w:p>
    <w:bookmarkEnd w:id="110"/>
    <w:bookmarkStart w:id="112" w:name="ref-tyus_movements_1974"/>
    <w:p>
      <w:pPr>
        <w:pStyle w:val="Bibliography"/>
      </w:pPr>
      <w:r>
        <w:t xml:space="preserve">Tyus, Harold M. 1974.</w:t>
      </w:r>
      <w:r>
        <w:t xml:space="preserve"> </w:t>
      </w:r>
      <w:r>
        <w:t xml:space="preserve">“Movements and</w:t>
      </w:r>
      <w:r>
        <w:t xml:space="preserve"> </w:t>
      </w:r>
      <w:r>
        <w:t xml:space="preserve">Spawning</w:t>
      </w:r>
      <w:r>
        <w:t xml:space="preserve"> </w:t>
      </w:r>
      <w:r>
        <w:t xml:space="preserve">of</w:t>
      </w:r>
      <w:r>
        <w:t xml:space="preserve"> </w:t>
      </w:r>
      <w:r>
        <w:t xml:space="preserve">Anadromous</w:t>
      </w:r>
      <w:r>
        <w:t xml:space="preserve"> </w:t>
      </w:r>
      <w:r>
        <w:t xml:space="preserve">Alewives</w:t>
      </w:r>
      <w:r>
        <w:t xml:space="preserve">,</w:t>
      </w:r>
      <w:r>
        <w:t xml:space="preserve"> </w:t>
      </w:r>
      <w:r>
        <w:t xml:space="preserve">Alosa</w:t>
      </w:r>
      <w:r>
        <w:t xml:space="preserve"> </w:t>
      </w:r>
      <w:r>
        <w:t xml:space="preserve">Pseudoharengus (</w:t>
      </w:r>
      <w:r>
        <w:t xml:space="preserve">Wilson</w:t>
      </w:r>
      <w:r>
        <w:t xml:space="preserve">) at</w:t>
      </w:r>
      <w:r>
        <w:t xml:space="preserve"> </w:t>
      </w:r>
      <w:r>
        <w:t xml:space="preserve">Lake</w:t>
      </w:r>
      <w:r>
        <w:t xml:space="preserve"> </w:t>
      </w:r>
      <w:r>
        <w:t xml:space="preserve">Mattamuskeet</w:t>
      </w:r>
      <w:r>
        <w:t xml:space="preserve">,</w:t>
      </w:r>
      <w:r>
        <w:t xml:space="preserve"> </w:t>
      </w:r>
      <w:r>
        <w:t xml:space="preserve">North</w:t>
      </w:r>
      <w:r>
        <w:t xml:space="preserve"> </w:t>
      </w:r>
      <w:r>
        <w:t xml:space="preserve">Carolina</w:t>
      </w:r>
      <w:r>
        <w:t xml:space="preserve">.”</w:t>
      </w:r>
      <w:r>
        <w:t xml:space="preserve"> </w:t>
      </w:r>
      <w:r>
        <w:rPr>
          <w:iCs/>
          <w:i/>
        </w:rPr>
        <w:t xml:space="preserve">Transactions of the American Fisheries Society</w:t>
      </w:r>
      <w:r>
        <w:t xml:space="preserve"> </w:t>
      </w:r>
      <w:r>
        <w:t xml:space="preserve">103 (2): 392–96.</w:t>
      </w:r>
      <w:r>
        <w:t xml:space="preserve"> </w:t>
      </w:r>
      <w:hyperlink r:id="rId111">
        <w:r>
          <w:rPr>
            <w:rStyle w:val="Hyperlink"/>
          </w:rPr>
          <w:t xml:space="preserve">https://doi.org/10.1577/1548-8659(1974)103&lt;392:MASOAA&gt;2.0.CO;2</w:t>
        </w:r>
      </w:hyperlink>
      <w:r>
        <w:t xml:space="preserve">.</w:t>
      </w:r>
    </w:p>
    <w:bookmarkEnd w:id="112"/>
    <w:bookmarkStart w:id="114" w:name="ref-walsh_early_2005"/>
    <w:p>
      <w:pPr>
        <w:pStyle w:val="Bibliography"/>
      </w:pPr>
      <w:r>
        <w:t xml:space="preserve">Walsh, Harvey J., Lawrence R. Settle, and David S. Peters. 2005.</w:t>
      </w:r>
      <w:r>
        <w:t xml:space="preserve"> </w:t>
      </w:r>
      <w:r>
        <w:t xml:space="preserve">“Early</w:t>
      </w:r>
      <w:r>
        <w:t xml:space="preserve"> </w:t>
      </w:r>
      <w:r>
        <w:t xml:space="preserve">Life</w:t>
      </w:r>
      <w:r>
        <w:t xml:space="preserve"> </w:t>
      </w:r>
      <w:r>
        <w:t xml:space="preserve">History</w:t>
      </w:r>
      <w:r>
        <w:t xml:space="preserve"> </w:t>
      </w:r>
      <w:r>
        <w:t xml:space="preserve">of</w:t>
      </w:r>
      <w:r>
        <w:t xml:space="preserve"> </w:t>
      </w:r>
      <w:r>
        <w:t xml:space="preserve">Blueback</w:t>
      </w:r>
      <w:r>
        <w:t xml:space="preserve"> </w:t>
      </w:r>
      <w:r>
        <w:t xml:space="preserve">Herring</w:t>
      </w:r>
      <w:r>
        <w:t xml:space="preserve"> </w:t>
      </w:r>
      <w:r>
        <w:t xml:space="preserve">and</w:t>
      </w:r>
      <w:r>
        <w:t xml:space="preserve"> </w:t>
      </w:r>
      <w:r>
        <w:t xml:space="preserve">Alewife</w:t>
      </w:r>
      <w:r>
        <w:t xml:space="preserve"> </w:t>
      </w:r>
      <w:r>
        <w:t xml:space="preserve">in the</w:t>
      </w:r>
      <w:r>
        <w:t xml:space="preserve"> </w:t>
      </w:r>
      <w:r>
        <w:t xml:space="preserve">Lower</w:t>
      </w:r>
      <w:r>
        <w:t xml:space="preserve"> </w:t>
      </w:r>
      <w:r>
        <w:t xml:space="preserve">Roanoke</w:t>
      </w:r>
      <w:r>
        <w:t xml:space="preserve"> </w:t>
      </w:r>
      <w:r>
        <w:t xml:space="preserve">River</w:t>
      </w:r>
      <w:r>
        <w:t xml:space="preserve">,</w:t>
      </w:r>
      <w:r>
        <w:t xml:space="preserve"> </w:t>
      </w:r>
      <w:r>
        <w:t xml:space="preserve">North</w:t>
      </w:r>
      <w:r>
        <w:t xml:space="preserve"> </w:t>
      </w:r>
      <w:r>
        <w:t xml:space="preserve">Carolina</w:t>
      </w:r>
      <w:r>
        <w:t xml:space="preserve">.”</w:t>
      </w:r>
      <w:r>
        <w:t xml:space="preserve"> </w:t>
      </w:r>
      <w:r>
        <w:rPr>
          <w:iCs/>
          <w:i/>
        </w:rPr>
        <w:t xml:space="preserve">Transactions of the American Fisheries Society</w:t>
      </w:r>
      <w:r>
        <w:t xml:space="preserve"> </w:t>
      </w:r>
      <w:r>
        <w:t xml:space="preserve">134 (4): 910–26.</w:t>
      </w:r>
      <w:r>
        <w:t xml:space="preserve"> </w:t>
      </w:r>
      <w:hyperlink r:id="rId113">
        <w:r>
          <w:rPr>
            <w:rStyle w:val="Hyperlink"/>
          </w:rPr>
          <w:t xml:space="preserve">https://doi.org/10.1577/T04-060.1</w:t>
        </w:r>
      </w:hyperlink>
      <w:r>
        <w:t xml:space="preserve">.</w:t>
      </w:r>
    </w:p>
    <w:bookmarkEnd w:id="114"/>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hyperlink" Id="rId42" Target="http://www.gma.org/fogm/" TargetMode="External" /><Relationship Type="http://schemas.openxmlformats.org/officeDocument/2006/relationships/hyperlink" Id="rId53" Target="https://apps.dtic.mil/sti/tr/pdf/ADA180383.pdf" TargetMode="External" /><Relationship Type="http://schemas.openxmlformats.org/officeDocument/2006/relationships/hyperlink" Id="rId100" Target="https://books.google.com/books?hl=en&amp;lr=&amp;id=WpTBLRItqHYC&amp;oi=fnd&amp;pg=PR6&amp;dq=Habitat+Suitability+for+Alewives&amp;ots=Rh70Hi2dbQ&amp;sig=mWMhRZ5FcP--mJX1NxJuFuZkhoM#v=onepage&amp;q=Habitat%20Suitability%20for%20Alewives&amp;f=false" TargetMode="External" /><Relationship Type="http://schemas.openxmlformats.org/officeDocument/2006/relationships/hyperlink" Id="rId85" Target="https://doi.org/10.1002/tafs.10155" TargetMode="External" /><Relationship Type="http://schemas.openxmlformats.org/officeDocument/2006/relationships/hyperlink" Id="rId79" Target="https://doi.org/10.1002/tafs.10301" TargetMode="External" /><Relationship Type="http://schemas.openxmlformats.org/officeDocument/2006/relationships/hyperlink" Id="rId64" Target="https://doi.org/10.1007/BF00691949" TargetMode="External" /><Relationship Type="http://schemas.openxmlformats.org/officeDocument/2006/relationships/hyperlink" Id="rId109" Target="https://doi.org/10.1007/s00442-015-3443-y" TargetMode="External" /><Relationship Type="http://schemas.openxmlformats.org/officeDocument/2006/relationships/hyperlink" Id="rId34" Target="https://doi.org/10.1007/s10641-020-01032-0" TargetMode="External" /><Relationship Type="http://schemas.openxmlformats.org/officeDocument/2006/relationships/hyperlink" Id="rId68" Target="https://doi.org/10.1016/S0380-1330(04)70332-9" TargetMode="External" /><Relationship Type="http://schemas.openxmlformats.org/officeDocument/2006/relationships/hyperlink" Id="rId105" Target="https://doi.org/10.1080/00028487.2015.1074617" TargetMode="External" /><Relationship Type="http://schemas.openxmlformats.org/officeDocument/2006/relationships/hyperlink" Id="rId94" Target="https://doi.org/10.1080/02705060.1999.9663691" TargetMode="External" /><Relationship Type="http://schemas.openxmlformats.org/officeDocument/2006/relationships/hyperlink" Id="rId49" Target="https://doi.org/10.1080/15222055.2015.1009590" TargetMode="External" /><Relationship Type="http://schemas.openxmlformats.org/officeDocument/2006/relationships/hyperlink" Id="rId98" Target="https://doi.org/10.1080/19425120.2012.675976" TargetMode="External" /><Relationship Type="http://schemas.openxmlformats.org/officeDocument/2006/relationships/hyperlink" Id="rId83" Target="https://doi.org/10.1080/19425120.2012.675980" TargetMode="External" /><Relationship Type="http://schemas.openxmlformats.org/officeDocument/2006/relationships/hyperlink" Id="rId39" Target="https://doi.org/10.1093/icesjms/fst013" TargetMode="External" /><Relationship Type="http://schemas.openxmlformats.org/officeDocument/2006/relationships/hyperlink" Id="rId81" Target="https://doi.org/10.1093/icesjms/fsu134" TargetMode="External" /><Relationship Type="http://schemas.openxmlformats.org/officeDocument/2006/relationships/hyperlink" Id="rId55" Target="https://doi.org/10.1111/j.1365-2400.2010.00759.x" TargetMode="External" /><Relationship Type="http://schemas.openxmlformats.org/officeDocument/2006/relationships/hyperlink" Id="rId60" Target="https://doi.org/10.1139/F08-066" TargetMode="External" /><Relationship Type="http://schemas.openxmlformats.org/officeDocument/2006/relationships/hyperlink" Id="rId107" Target="https://doi.org/10.1139/cjfas-2014-0259" TargetMode="External" /><Relationship Type="http://schemas.openxmlformats.org/officeDocument/2006/relationships/hyperlink" Id="rId58" Target="https://doi.org/10.1139/f04-093" TargetMode="External" /><Relationship Type="http://schemas.openxmlformats.org/officeDocument/2006/relationships/hyperlink" Id="rId66" Target="https://doi.org/10.1139/f80-023" TargetMode="External" /><Relationship Type="http://schemas.openxmlformats.org/officeDocument/2006/relationships/hyperlink" Id="rId71" Target="https://doi.org/10.1577/1548-8659(1974)103&lt;312:SOTAAA&gt;2.0.CO;2" TargetMode="External" /><Relationship Type="http://schemas.openxmlformats.org/officeDocument/2006/relationships/hyperlink" Id="rId111" Target="https://doi.org/10.1577/1548-8659(1974)103&lt;392:MASOAA&gt;2.0.CO;2" TargetMode="External" /><Relationship Type="http://schemas.openxmlformats.org/officeDocument/2006/relationships/hyperlink" Id="rId103" Target="https://doi.org/10.1577/1548-8659(1975)104&lt;494:TROJAT&gt;2.0.CO;2" TargetMode="External" /><Relationship Type="http://schemas.openxmlformats.org/officeDocument/2006/relationships/hyperlink" Id="rId96" Target="https://doi.org/10.1577/1548-8659(1976)105&lt;96:LAPTOT&gt;2.0.CO;2" TargetMode="External" /><Relationship Type="http://schemas.openxmlformats.org/officeDocument/2006/relationships/hyperlink" Id="rId76" Target="https://doi.org/10.1577/1548-8659(2001)130&lt;0600:PCTVIR&gt;2.0.CO;2" TargetMode="External" /><Relationship Type="http://schemas.openxmlformats.org/officeDocument/2006/relationships/hyperlink" Id="rId45" Target="https://doi.org/10.1577/1548-8675(2000)020&lt;0408:HSIMFE&gt;2.3.CO;2" TargetMode="External" /><Relationship Type="http://schemas.openxmlformats.org/officeDocument/2006/relationships/hyperlink" Id="rId74" Target="https://doi.org/10.1577/M06-120.1" TargetMode="External" /><Relationship Type="http://schemas.openxmlformats.org/officeDocument/2006/relationships/hyperlink" Id="rId113" Target="https://doi.org/10.1577/T04-060.1" TargetMode="External" /><Relationship Type="http://schemas.openxmlformats.org/officeDocument/2006/relationships/hyperlink" Id="rId47" Target="https://doi.org/10.1641/0006-3568(2003)053[0772:FOTGOM]2.0.CO;2" TargetMode="External" /><Relationship Type="http://schemas.openxmlformats.org/officeDocument/2006/relationships/hyperlink" Id="rId92" Target="https://doi.org/10.2307/1352251" TargetMode="External" /><Relationship Type="http://schemas.openxmlformats.org/officeDocument/2006/relationships/hyperlink" Id="rId51" Target="https://doi.org/10.3389/fmars.2021.706666" TargetMode="External" /><Relationship Type="http://schemas.openxmlformats.org/officeDocument/2006/relationships/hyperlink" Id="rId62" Target="https://ecommons.cornell.edu/bitstream/handle/1813/33829/ces279.pdf?sequence=1&amp;isAllowed=y" TargetMode="External" /><Relationship Type="http://schemas.openxmlformats.org/officeDocument/2006/relationships/hyperlink" Id="rId88" Target="https://nmfs.noaa.gov/pr/species/concern/" TargetMode="External" /></Relationships>
</file>

<file path=word/_rels/footnotes.xml.rels><?xml version="1.0" encoding="UTF-8"?><Relationships xmlns="http://schemas.openxmlformats.org/package/2006/relationships"><Relationship Type="http://schemas.openxmlformats.org/officeDocument/2006/relationships/hyperlink" Id="rId42" Target="http://www.gma.org/fogm/" TargetMode="External" /><Relationship Type="http://schemas.openxmlformats.org/officeDocument/2006/relationships/hyperlink" Id="rId53" Target="https://apps.dtic.mil/sti/tr/pdf/ADA180383.pdf" TargetMode="External" /><Relationship Type="http://schemas.openxmlformats.org/officeDocument/2006/relationships/hyperlink" Id="rId100" Target="https://books.google.com/books?hl=en&amp;lr=&amp;id=WpTBLRItqHYC&amp;oi=fnd&amp;pg=PR6&amp;dq=Habitat+Suitability+for+Alewives&amp;ots=Rh70Hi2dbQ&amp;sig=mWMhRZ5FcP--mJX1NxJuFuZkhoM#v=onepage&amp;q=Habitat%20Suitability%20for%20Alewives&amp;f=false" TargetMode="External" /><Relationship Type="http://schemas.openxmlformats.org/officeDocument/2006/relationships/hyperlink" Id="rId85" Target="https://doi.org/10.1002/tafs.10155" TargetMode="External" /><Relationship Type="http://schemas.openxmlformats.org/officeDocument/2006/relationships/hyperlink" Id="rId79" Target="https://doi.org/10.1002/tafs.10301" TargetMode="External" /><Relationship Type="http://schemas.openxmlformats.org/officeDocument/2006/relationships/hyperlink" Id="rId64" Target="https://doi.org/10.1007/BF00691949" TargetMode="External" /><Relationship Type="http://schemas.openxmlformats.org/officeDocument/2006/relationships/hyperlink" Id="rId109" Target="https://doi.org/10.1007/s00442-015-3443-y" TargetMode="External" /><Relationship Type="http://schemas.openxmlformats.org/officeDocument/2006/relationships/hyperlink" Id="rId34" Target="https://doi.org/10.1007/s10641-020-01032-0" TargetMode="External" /><Relationship Type="http://schemas.openxmlformats.org/officeDocument/2006/relationships/hyperlink" Id="rId68" Target="https://doi.org/10.1016/S0380-1330(04)70332-9" TargetMode="External" /><Relationship Type="http://schemas.openxmlformats.org/officeDocument/2006/relationships/hyperlink" Id="rId105" Target="https://doi.org/10.1080/00028487.2015.1074617" TargetMode="External" /><Relationship Type="http://schemas.openxmlformats.org/officeDocument/2006/relationships/hyperlink" Id="rId94" Target="https://doi.org/10.1080/02705060.1999.9663691" TargetMode="External" /><Relationship Type="http://schemas.openxmlformats.org/officeDocument/2006/relationships/hyperlink" Id="rId49" Target="https://doi.org/10.1080/15222055.2015.1009590" TargetMode="External" /><Relationship Type="http://schemas.openxmlformats.org/officeDocument/2006/relationships/hyperlink" Id="rId98" Target="https://doi.org/10.1080/19425120.2012.675976" TargetMode="External" /><Relationship Type="http://schemas.openxmlformats.org/officeDocument/2006/relationships/hyperlink" Id="rId83" Target="https://doi.org/10.1080/19425120.2012.675980" TargetMode="External" /><Relationship Type="http://schemas.openxmlformats.org/officeDocument/2006/relationships/hyperlink" Id="rId39" Target="https://doi.org/10.1093/icesjms/fst013" TargetMode="External" /><Relationship Type="http://schemas.openxmlformats.org/officeDocument/2006/relationships/hyperlink" Id="rId81" Target="https://doi.org/10.1093/icesjms/fsu134" TargetMode="External" /><Relationship Type="http://schemas.openxmlformats.org/officeDocument/2006/relationships/hyperlink" Id="rId55" Target="https://doi.org/10.1111/j.1365-2400.2010.00759.x" TargetMode="External" /><Relationship Type="http://schemas.openxmlformats.org/officeDocument/2006/relationships/hyperlink" Id="rId60" Target="https://doi.org/10.1139/F08-066" TargetMode="External" /><Relationship Type="http://schemas.openxmlformats.org/officeDocument/2006/relationships/hyperlink" Id="rId107" Target="https://doi.org/10.1139/cjfas-2014-0259" TargetMode="External" /><Relationship Type="http://schemas.openxmlformats.org/officeDocument/2006/relationships/hyperlink" Id="rId58" Target="https://doi.org/10.1139/f04-093" TargetMode="External" /><Relationship Type="http://schemas.openxmlformats.org/officeDocument/2006/relationships/hyperlink" Id="rId66" Target="https://doi.org/10.1139/f80-023" TargetMode="External" /><Relationship Type="http://schemas.openxmlformats.org/officeDocument/2006/relationships/hyperlink" Id="rId71" Target="https://doi.org/10.1577/1548-8659(1974)103&lt;312:SOTAAA&gt;2.0.CO;2" TargetMode="External" /><Relationship Type="http://schemas.openxmlformats.org/officeDocument/2006/relationships/hyperlink" Id="rId111" Target="https://doi.org/10.1577/1548-8659(1974)103&lt;392:MASOAA&gt;2.0.CO;2" TargetMode="External" /><Relationship Type="http://schemas.openxmlformats.org/officeDocument/2006/relationships/hyperlink" Id="rId103" Target="https://doi.org/10.1577/1548-8659(1975)104&lt;494:TROJAT&gt;2.0.CO;2" TargetMode="External" /><Relationship Type="http://schemas.openxmlformats.org/officeDocument/2006/relationships/hyperlink" Id="rId96" Target="https://doi.org/10.1577/1548-8659(1976)105&lt;96:LAPTOT&gt;2.0.CO;2" TargetMode="External" /><Relationship Type="http://schemas.openxmlformats.org/officeDocument/2006/relationships/hyperlink" Id="rId76" Target="https://doi.org/10.1577/1548-8659(2001)130&lt;0600:PCTVIR&gt;2.0.CO;2" TargetMode="External" /><Relationship Type="http://schemas.openxmlformats.org/officeDocument/2006/relationships/hyperlink" Id="rId45" Target="https://doi.org/10.1577/1548-8675(2000)020&lt;0408:HSIMFE&gt;2.3.CO;2" TargetMode="External" /><Relationship Type="http://schemas.openxmlformats.org/officeDocument/2006/relationships/hyperlink" Id="rId74" Target="https://doi.org/10.1577/M06-120.1" TargetMode="External" /><Relationship Type="http://schemas.openxmlformats.org/officeDocument/2006/relationships/hyperlink" Id="rId113" Target="https://doi.org/10.1577/T04-060.1" TargetMode="External" /><Relationship Type="http://schemas.openxmlformats.org/officeDocument/2006/relationships/hyperlink" Id="rId47" Target="https://doi.org/10.1641/0006-3568(2003)053[0772:FOTGOM]2.0.CO;2" TargetMode="External" /><Relationship Type="http://schemas.openxmlformats.org/officeDocument/2006/relationships/hyperlink" Id="rId92" Target="https://doi.org/10.2307/1352251" TargetMode="External" /><Relationship Type="http://schemas.openxmlformats.org/officeDocument/2006/relationships/hyperlink" Id="rId51" Target="https://doi.org/10.3389/fmars.2021.706666" TargetMode="External" /><Relationship Type="http://schemas.openxmlformats.org/officeDocument/2006/relationships/hyperlink" Id="rId62" Target="https://ecommons.cornell.edu/bitstream/handle/1813/33829/ces279.pdf?sequence=1&amp;isAllowed=y" TargetMode="External" /><Relationship Type="http://schemas.openxmlformats.org/officeDocument/2006/relationships/hyperlink" Id="rId88" Target="https://nmfs.noaa.gov/pr/species/conce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Alewife Habitat Suitability Models</dc:title>
  <dc:creator>Vanessa Mahan, Justin Stevens</dc:creator>
  <cp:keywords/>
  <dcterms:created xsi:type="dcterms:W3CDTF">2023-09-12T18:54:52Z</dcterms:created>
  <dcterms:modified xsi:type="dcterms:W3CDTF">2023-09-12T18:54:52Z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Lit.R_Alewives.bib</vt:lpwstr>
  </property>
  <property fmtid="{D5CDD505-2E9C-101B-9397-08002B2CF9AE}" pid="3" name="date">
    <vt:lpwstr>2023-04-19</vt:lpwstr>
  </property>
  <property fmtid="{D5CDD505-2E9C-101B-9397-08002B2CF9AE}" pid="4" name="output">
    <vt:lpwstr/>
  </property>
</Properties>
</file>