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Four Practical Indicators for Real-Time Verbal Autopsy Data Quality Assessment: A Cross-National Validation Study</w:t>
      </w:r>
    </w:p>
    <w:p w:rsidR="00000000" w:rsidDel="00000000" w:rsidP="00000000" w:rsidRDefault="00000000" w:rsidRPr="00000000" w14:paraId="00000002">
      <w:pPr>
        <w:spacing w:after="80" w:before="8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b w:val="1"/>
          <w:bCs w:val="1"/>
          <w:rtl w:val="0"/>
        </w:rPr>
        <w:t xml:space="preserve">Authors:</w:t>
      </w:r>
      <w:r w:rsidDel="00000000" w:rsidR="00000000" w:rsidRPr="00000000">
        <w:rPr>
          <w:rFonts w:ascii="Times New Roman" w:cs="Times New Roman" w:eastAsia="Times New Roman" w:hAnsi="Times New Roman"/>
          <w:rtl w:val="0"/>
        </w:rPr>
        <w:t xml:space="preserve"> Isaac Lyatuu¹*, Shukurani Irema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Gisbert Msigwa</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Cossy modibedi</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t xml:space="preserve">, Bukar Zarami</w:t>
      </w:r>
      <w:r w:rsidDel="00000000" w:rsidR="00000000" w:rsidRPr="00000000">
        <w:rPr>
          <w:vertAlign w:val="superscript"/>
          <w:rtl w:val="0"/>
        </w:rPr>
        <w:t xml:space="preserve">4</w:t>
      </w:r>
      <w:r w:rsidDel="00000000" w:rsidR="00000000" w:rsidRPr="00000000">
        <w:rPr>
          <w:rFonts w:ascii="Times New Roman" w:cs="Times New Roman" w:eastAsia="Times New Roman" w:hAnsi="Times New Roman"/>
          <w:rtl w:val="0"/>
        </w:rPr>
        <w:t xml:space="preserve">, Robert Mswia</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0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w:t>
      </w:r>
      <w:r w:rsidDel="00000000" w:rsidR="00000000" w:rsidRPr="00000000">
        <w:rPr>
          <w:rFonts w:ascii="Times New Roman" w:cs="Times New Roman" w:eastAsia="Times New Roman" w:hAnsi="Times New Roman"/>
          <w:rtl w:val="0"/>
        </w:rPr>
        <w:t xml:space="preserve"> </w:t>
        <w:tab/>
        <w:t xml:space="preserve">¹ Ifakara Health Institute, Dar es Salaam, Tanzania</w:t>
      </w:r>
    </w:p>
    <w:p w:rsidR="00000000" w:rsidDel="00000000" w:rsidP="00000000" w:rsidRDefault="00000000" w:rsidRPr="00000000" w14:paraId="0000000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Ministry of Health Tanzania</w:t>
      </w:r>
    </w:p>
    <w:p w:rsidR="00000000" w:rsidDel="00000000" w:rsidP="00000000" w:rsidRDefault="00000000" w:rsidRPr="00000000" w14:paraId="0000000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Ministry of Health, Kingdom of Eswatini</w:t>
      </w:r>
    </w:p>
    <w:p w:rsidR="00000000" w:rsidDel="00000000" w:rsidP="00000000" w:rsidRDefault="00000000" w:rsidRPr="00000000" w14:paraId="0000000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Ministry of Health, Nigeria</w:t>
      </w:r>
    </w:p>
    <w:p w:rsidR="00000000" w:rsidDel="00000000" w:rsidP="00000000" w:rsidRDefault="00000000" w:rsidRPr="00000000" w14:paraId="0000000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Vital Strategies, USA</w:t>
      </w:r>
    </w:p>
    <w:p w:rsidR="00000000" w:rsidDel="00000000" w:rsidP="00000000" w:rsidRDefault="00000000" w:rsidRPr="00000000" w14:paraId="0000000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Corresponding author:</w:t>
      </w:r>
      <w:r w:rsidDel="00000000" w:rsidR="00000000" w:rsidRPr="00000000">
        <w:rPr>
          <w:rFonts w:ascii="Times New Roman" w:cs="Times New Roman" w:eastAsia="Times New Roman" w:hAnsi="Times New Roman"/>
          <w:rtl w:val="0"/>
        </w:rPr>
        <w:t xml:space="preserve"> *Isaac Lyatuu, Ifakara Health Institute. Email: ilyatuu@ihi.or.tz</w:t>
      </w:r>
    </w:p>
    <w:p w:rsidR="00000000" w:rsidDel="00000000" w:rsidP="00000000" w:rsidRDefault="00000000" w:rsidRPr="00000000" w14:paraId="00000009">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verbal autopsy, data quality, completeness, reliability, internal consistency, interview duration, WHO-VA instrument, mortality surveillance</w:t>
      </w:r>
    </w:p>
    <w:p w:rsidR="00000000" w:rsidDel="00000000" w:rsidP="00000000" w:rsidRDefault="00000000" w:rsidRPr="00000000" w14:paraId="0000000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pStyle w:val="Heading1"/>
        <w:keepNext w:val="0"/>
        <w:keepLines w:val="0"/>
        <w:rPr>
          <w:rFonts w:ascii="Times New Roman" w:cs="Times New Roman" w:eastAsia="Times New Roman" w:hAnsi="Times New Roman"/>
          <w:b w:val="1"/>
          <w:bCs w:val="1"/>
          <w:sz w:val="22"/>
          <w:szCs w:val="22"/>
        </w:rPr>
      </w:pPr>
      <w:bookmarkStart w:colFirst="0" w:colLast="0" w:name="_1f0xwyd8j666"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w:t>
      </w:r>
      <w:r w:rsidDel="00000000" w:rsidR="00000000" w:rsidRPr="00000000">
        <w:rPr>
          <w:rFonts w:ascii="Times New Roman" w:cs="Times New Roman" w:eastAsia="Times New Roman" w:hAnsi="Times New Roman"/>
          <w:rtl w:val="0"/>
        </w:rPr>
        <w:t xml:space="preserve"> Verbal autopsy (VA) data quality is conventionally assessed after or during cause-of-death (CoD) assignment, a step that requires aggregated data and introduces delays in identifying and correcting data problems. No standardised, instrument-agnostic set of quality indicators has been published that can be applied to individual VA records in real time. We propose and validate four complementary indicators: the Informative Completeness Score (ICS), Respondent Reliability Score (RRS), Internal Consistency Index (ICI), and Average Interview Duration (AID), that can be computed for a single VA record, enabling immediate feedback to interviewers and supervisors.</w:t>
      </w:r>
    </w:p>
    <w:p w:rsidR="00000000" w:rsidDel="00000000" w:rsidP="00000000" w:rsidRDefault="00000000" w:rsidRPr="00000000" w14:paraId="0000000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Methods:</w:t>
      </w:r>
      <w:r w:rsidDel="00000000" w:rsidR="00000000" w:rsidRPr="00000000">
        <w:rPr>
          <w:rFonts w:ascii="Times New Roman" w:cs="Times New Roman" w:eastAsia="Times New Roman" w:hAnsi="Times New Roman"/>
          <w:rtl w:val="0"/>
        </w:rPr>
        <w:t xml:space="preserve"> The four indicators were developed using field names and response codes defined in the 2016 and 2022 World Health Organization Verbal Autopsy (WHO-VA) instruments. We validated the indicators on three country’s datasets: 1.Tanzania (n=3,601, 2016 WHO-VA), 2.Eswatini (n=380, 2022 WHO-VA), and 3.Nigeria (n=5,468, 2022 WHO-VA). Descriptive statistics, tier distributions, and per-rule violation frequencies were computed for each indicator.</w:t>
      </w:r>
    </w:p>
    <w:p w:rsidR="00000000" w:rsidDel="00000000" w:rsidP="00000000" w:rsidRDefault="00000000" w:rsidRPr="00000000" w14:paraId="0000000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Fonts w:ascii="Times New Roman" w:cs="Times New Roman" w:eastAsia="Times New Roman" w:hAnsi="Times New Roman"/>
          <w:rtl w:val="0"/>
        </w:rPr>
        <w:t xml:space="preserve"> ICS was high across all datasets (means: Eswatini 96.4%, Tanzania 98.7%, Nigeria 98.7%), with occasional low-outlier records indicating interviewers who relied heavily on "don't know" or "refused" responses. RRS was computable for Eswatini (n=349, mean=82.4, 63.9% High tier) and Tanzania (n=3,546, mean=85.2, 70.1% High tier); the Nigeria dataset lacked the required relationship and date fields. ICI revealed that cough duration exceeding total illness duration (C4) was the most frequent logical error in both Eswatini (n=23, 6.1%) and Tanzania (n=28, 0.8%); Nigeria had the highest absolute number of C3 violations (fever duration &gt; illness duration; n=115, 2.1%). AID was computable for Eswatini (median=27.3 min, n=281) and Tanzania (median=32.0 min, n=676); Nigeria's dataset did not include interview time fields.</w:t>
      </w:r>
    </w:p>
    <w:p w:rsidR="00000000" w:rsidDel="00000000" w:rsidP="00000000" w:rsidRDefault="00000000" w:rsidRPr="00000000" w14:paraId="0000001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Conclusions:</w:t>
      </w:r>
      <w:r w:rsidDel="00000000" w:rsidR="00000000" w:rsidRPr="00000000">
        <w:rPr>
          <w:rFonts w:ascii="Times New Roman" w:cs="Times New Roman" w:eastAsia="Times New Roman" w:hAnsi="Times New Roman"/>
          <w:rtl w:val="0"/>
        </w:rPr>
        <w:t xml:space="preserve"> The four proposed indicators are practical, transparent, and computable at the record level using standard WHO-VA fields. They enable real-time quality feedback before CoD assignment, do not require large samples, and are compatible with both the 2016 and 2022 WHO-VA instruments. Integration into data management platforms can substantially shorten the feedback loop between data collection and quality improvement.</w:t>
      </w:r>
    </w:p>
    <w:p w:rsidR="00000000" w:rsidDel="00000000" w:rsidP="00000000" w:rsidRDefault="00000000" w:rsidRPr="00000000" w14:paraId="0000001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ox4mn2c7jw4" w:id="1"/>
      <w:bookmarkEnd w:id="1"/>
      <w:r w:rsidDel="00000000" w:rsidR="00000000" w:rsidRPr="00000000">
        <w:rPr>
          <w:rFonts w:ascii="Times New Roman" w:cs="Times New Roman" w:eastAsia="Times New Roman" w:hAnsi="Times New Roman"/>
          <w:b w:val="1"/>
          <w:bCs w:val="1"/>
          <w:sz w:val="22"/>
          <w:szCs w:val="22"/>
          <w:rtl w:val="0"/>
        </w:rPr>
        <w:t xml:space="preserve">1. Introduction</w:t>
      </w:r>
    </w:p>
    <w:p w:rsidR="00000000" w:rsidDel="00000000" w:rsidP="00000000" w:rsidRDefault="00000000" w:rsidRPr="00000000" w14:paraId="0000001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Verbal Autopsy (VA) is the primary method for ascertaining causes of death in settings where vital registration systems are absent or incomplete, a situation common to low-resource settings including sub-Saharan Africa, South Asia, and parts of Latin America </w:t>
      </w:r>
      <w:hyperlink r:id="rId7">
        <w:r w:rsidDel="00000000" w:rsidR="00000000" w:rsidRPr="00000000">
          <w:rPr>
            <w:rFonts w:ascii="Times New Roman" w:cs="Times New Roman" w:eastAsia="Times New Roman" w:hAnsi="Times New Roman"/>
            <w:rtl w:val="0"/>
          </w:rPr>
          <w:t xml:space="preserve">[1,2]</w:t>
        </w:r>
      </w:hyperlink>
      <w:r w:rsidDel="00000000" w:rsidR="00000000" w:rsidRPr="00000000">
        <w:rPr>
          <w:rFonts w:ascii="Times New Roman" w:cs="Times New Roman" w:eastAsia="Times New Roman" w:hAnsi="Times New Roman"/>
          <w:rtl w:val="0"/>
        </w:rPr>
        <w:t xml:space="preserve">. A VA interview involves a structured questionnaire administered to a close relative or caregiver of a recently deceased person; the resulting data are used to assign a probable Cause of Death (CoD) through algorithmic methods such as InSilicoVA </w:t>
      </w:r>
      <w:hyperlink r:id="rId8">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 InterVA </w:t>
      </w:r>
      <w:hyperlink r:id="rId9">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 xml:space="preserve">, SmartVA </w:t>
      </w:r>
      <w:hyperlink r:id="rId10">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or physician-coded review </w:t>
      </w:r>
      <w:hyperlink r:id="rId11">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of CoD estimates depends directly on the quality of the underlying VA data. Yet formal quality assessment has typically been embedded in the CoD assignment workflow which includes data analysts or automated algorithms that detect inconsistencies or implausible values when processing aggregated datasets, usually weeks or months after the interviews are conducted </w:t>
      </w:r>
      <w:hyperlink r:id="rId12">
        <w:r w:rsidDel="00000000" w:rsidR="00000000" w:rsidRPr="00000000">
          <w:rPr>
            <w:rFonts w:ascii="Times New Roman" w:cs="Times New Roman" w:eastAsia="Times New Roman" w:hAnsi="Times New Roman"/>
            <w:rtl w:val="0"/>
          </w:rPr>
          <w:t xml:space="preserve">[7,8]</w:t>
        </w:r>
      </w:hyperlink>
      <w:r w:rsidDel="00000000" w:rsidR="00000000" w:rsidRPr="00000000">
        <w:rPr>
          <w:rFonts w:ascii="Times New Roman" w:cs="Times New Roman" w:eastAsia="Times New Roman" w:hAnsi="Times New Roman"/>
          <w:rtl w:val="0"/>
        </w:rPr>
        <w:t xml:space="preserve">. This approach has two key limitations. First, problems identified late are costly to rectify; the interviewer who recorded contradictory responses may no longer be accessible or may have continued the same error across dozens of additional interviews. Second, algorithmic CoD methods require a sufficient number of records to produce stable estimates; a single VA cannot be evaluated for "cause-of-death plausibility" in isolation. Consequently, individual-record quality problems may go undetected until they affect population-level estimates.</w:t>
      </w:r>
    </w:p>
    <w:p w:rsidR="00000000" w:rsidDel="00000000" w:rsidP="00000000" w:rsidRDefault="00000000" w:rsidRPr="00000000" w14:paraId="0000001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our knowledge, no published framework provides a standardised set of quality indicators that can be applied to a single VA record, in real time, independently of CoD assignment, and in a format compatible with both major WHO-VA instrument versions. Existing quality checks tend to be embedded within specific software packages, are not consistently defined or published, and address only subsets of the data quality problem (for example, completeness alone, or logical range checks only).</w:t>
      </w:r>
    </w:p>
    <w:p w:rsidR="00000000" w:rsidDel="00000000" w:rsidP="00000000" w:rsidRDefault="00000000" w:rsidRPr="00000000" w14:paraId="0000001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address this gap by proposing four complementary indicators; 1. Informatic Completeness Score (ICS), 2. Respondent Reliability Score (RRS), 3. Internal Consistency Index (ICI), and 4. Average Interview Duration (AID), each targeting a distinct dimension of VA data quality. These indicators can be computed automatically as soon as an interview is uploaded, providing supervisors with actionable, record-level feedback. We demonstrate their application on three national datasets spanning two WHO-VA instrument versions.</w:t>
      </w:r>
    </w:p>
    <w:p w:rsidR="00000000" w:rsidDel="00000000" w:rsidP="00000000" w:rsidRDefault="00000000" w:rsidRPr="00000000" w14:paraId="0000001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pStyle w:val="Heading1"/>
        <w:keepNext w:val="0"/>
        <w:keepLines w:val="0"/>
        <w:spacing w:before="480" w:lineRule="auto"/>
        <w:rPr/>
      </w:pPr>
      <w:bookmarkStart w:colFirst="0" w:colLast="0" w:name="_20nm8f3be9ri"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uujexivnp5xv" w:id="3"/>
      <w:bookmarkEnd w:id="3"/>
      <w:r w:rsidDel="00000000" w:rsidR="00000000" w:rsidRPr="00000000">
        <w:rPr>
          <w:rFonts w:ascii="Times New Roman" w:cs="Times New Roman" w:eastAsia="Times New Roman" w:hAnsi="Times New Roman"/>
          <w:b w:val="1"/>
          <w:bCs w:val="1"/>
          <w:sz w:val="22"/>
          <w:szCs w:val="22"/>
          <w:rtl w:val="0"/>
        </w:rPr>
        <w:t xml:space="preserve">2. Methods</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rqe6u1cj70w" w:id="4"/>
      <w:bookmarkEnd w:id="4"/>
      <w:r w:rsidDel="00000000" w:rsidR="00000000" w:rsidRPr="00000000">
        <w:rPr>
          <w:rFonts w:ascii="Times New Roman" w:cs="Times New Roman" w:eastAsia="Times New Roman" w:hAnsi="Times New Roman"/>
          <w:b w:val="1"/>
          <w:bCs w:val="1"/>
          <w:sz w:val="22"/>
          <w:szCs w:val="22"/>
          <w:rtl w:val="0"/>
        </w:rPr>
        <w:t xml:space="preserve">2.1 Study Design</w:t>
      </w:r>
    </w:p>
    <w:p w:rsidR="00000000" w:rsidDel="00000000" w:rsidP="00000000" w:rsidRDefault="00000000" w:rsidRPr="00000000" w14:paraId="0000001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methodological paper describing the development and cross-national application of four VA data quality indicators. The indicators are derived from the field structure of the WHO-VA instrument and applied to three existing datasets. No primary data collection was undertaken; accordingly, no ethics approval was required beyond that already governing the source datasets.</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w96ethftxic" w:id="5"/>
      <w:bookmarkEnd w:id="5"/>
      <w:r w:rsidDel="00000000" w:rsidR="00000000" w:rsidRPr="00000000">
        <w:rPr>
          <w:rFonts w:ascii="Times New Roman" w:cs="Times New Roman" w:eastAsia="Times New Roman" w:hAnsi="Times New Roman"/>
          <w:b w:val="1"/>
          <w:bCs w:val="1"/>
          <w:sz w:val="22"/>
          <w:szCs w:val="22"/>
          <w:rtl w:val="0"/>
        </w:rPr>
        <w:t xml:space="preserve">2.2 WHO-VA Instrument Compatibility</w:t>
      </w:r>
    </w:p>
    <w:p w:rsidR="00000000" w:rsidDel="00000000" w:rsidP="00000000" w:rsidRDefault="00000000" w:rsidRPr="00000000" w14:paraId="0000002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WHO publishes the VA instrument in versioned releases; the two most widely used are the 2016 and 2022 versions </w:t>
      </w:r>
      <w:hyperlink r:id="rId13">
        <w:r w:rsidDel="00000000" w:rsidR="00000000" w:rsidRPr="00000000">
          <w:rPr>
            <w:rFonts w:ascii="Times New Roman" w:cs="Times New Roman" w:eastAsia="Times New Roman" w:hAnsi="Times New Roman"/>
            <w:rtl w:val="0"/>
          </w:rPr>
          <w:t xml:space="preserve">[9,10]</w:t>
        </w:r>
      </w:hyperlink>
      <w:r w:rsidDel="00000000" w:rsidR="00000000" w:rsidRPr="00000000">
        <w:rPr>
          <w:rFonts w:ascii="Times New Roman" w:cs="Times New Roman" w:eastAsia="Times New Roman" w:hAnsi="Times New Roman"/>
          <w:rtl w:val="0"/>
        </w:rPr>
        <w:t xml:space="preserve">. Both share a common question-naming convention (e.g., id10011 for interview start time, id10019 for deceased sex, id10023 for date of death). The indicators proposed here are constructed from field names present in both versions, making them applicable to data collected with either instrument. Where a field is absent or differently structured in a particular dataset version, computation of the relevant indicator is not possible; this is treated as a data limitation, not an indicator failure.</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e21t8b5gogdr" w:id="6"/>
      <w:bookmarkEnd w:id="6"/>
      <w:r w:rsidDel="00000000" w:rsidR="00000000" w:rsidRPr="00000000">
        <w:rPr>
          <w:rFonts w:ascii="Times New Roman" w:cs="Times New Roman" w:eastAsia="Times New Roman" w:hAnsi="Times New Roman"/>
          <w:b w:val="1"/>
          <w:bCs w:val="1"/>
          <w:sz w:val="22"/>
          <w:szCs w:val="22"/>
          <w:rtl w:val="0"/>
        </w:rPr>
        <w:t xml:space="preserve">2.3 Indicator Definitions</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ukc9lk9abkr" w:id="7"/>
      <w:bookmarkEnd w:id="7"/>
      <w:r w:rsidDel="00000000" w:rsidR="00000000" w:rsidRPr="00000000">
        <w:rPr>
          <w:rFonts w:ascii="Times New Roman" w:cs="Times New Roman" w:eastAsia="Times New Roman" w:hAnsi="Times New Roman"/>
          <w:b w:val="1"/>
          <w:bCs w:val="1"/>
          <w:color w:val="000000"/>
          <w:sz w:val="22"/>
          <w:szCs w:val="22"/>
          <w:rtl w:val="0"/>
        </w:rPr>
        <w:t xml:space="preserve">2.3.1 Informative Completeness Score (ICS)</w:t>
      </w:r>
    </w:p>
    <w:p w:rsidR="00000000" w:rsidDel="00000000" w:rsidP="00000000" w:rsidRDefault="00000000" w:rsidRPr="00000000" w14:paraId="00000023">
      <w:pPr>
        <w:rPr/>
      </w:pPr>
      <w:r w:rsidDel="00000000" w:rsidR="00000000" w:rsidRPr="00000000">
        <w:rPr>
          <w:rtl w:val="0"/>
        </w:rPr>
        <w:t xml:space="preserve">The ICS quantifies the proportion of binary (yes/no) questions answered informatively, that is, with a definitive "yes" or "no" rather than "don't know" (dk) or "refused" (ref). Let </w:t>
      </w:r>
      <m:oMath>
        <m:sSub>
          <m:sSubPr>
            <m:ctrlPr>
              <w:rPr/>
            </m:ctrlPr>
          </m:sSubPr>
          <m:e>
            <m:r>
              <w:rPr/>
              <m:t xml:space="preserve">B</m:t>
            </m:r>
          </m:e>
          <m:sub>
            <m:r>
              <w:rPr/>
              <m:t xml:space="preserve">i</m:t>
            </m:r>
          </m:sub>
        </m:sSub>
      </m:oMath>
      <w:r w:rsidDel="00000000" w:rsidR="00000000" w:rsidRPr="00000000">
        <w:rPr>
          <w:rtl w:val="0"/>
        </w:rPr>
        <w:t xml:space="preserve"> denote the set of binary-response fields for record </w:t>
      </w:r>
      <m:oMath>
        <m:r>
          <w:rPr/>
          <m:t xml:space="preserve">i</m:t>
        </m:r>
      </m:oMath>
      <w:r w:rsidDel="00000000" w:rsidR="00000000" w:rsidRPr="00000000">
        <w:rPr>
          <w:rtl w:val="0"/>
        </w:rPr>
        <w:t xml:space="preserve"> that received any response (i.e., excluding system-missing values), and let </w:t>
      </w:r>
      <m:oMath>
        <m:sSub>
          <m:sSubPr>
            <m:ctrlPr>
              <w:rPr/>
            </m:ctrlPr>
          </m:sSubPr>
          <m:e>
            <m:r>
              <w:rPr/>
              <m:t xml:space="preserve">I</m:t>
            </m:r>
          </m:e>
          <m:sub>
            <m:r>
              <w:rPr/>
              <m:t xml:space="preserve">i </m:t>
            </m:r>
          </m:sub>
        </m:sSub>
        <m:r>
          <w:rPr/>
          <m:t>⊆</m:t>
        </m:r>
        <m:r>
          <w:rPr/>
          <m:t xml:space="preserve"> </m:t>
        </m:r>
        <m:sSub>
          <m:sSubPr>
            <m:ctrlPr>
              <w:rPr/>
            </m:ctrlPr>
          </m:sSubPr>
          <m:e>
            <m:r>
              <w:rPr/>
              <m:t xml:space="preserve">B</m:t>
            </m:r>
          </m:e>
          <m:sub>
            <m:r>
              <w:rPr/>
              <m:t xml:space="preserve">i</m:t>
            </m:r>
          </m:sub>
        </m:sSub>
      </m:oMath>
      <w:r w:rsidDel="00000000" w:rsidR="00000000" w:rsidRPr="00000000">
        <w:rPr>
          <w:rtl w:val="0"/>
        </w:rPr>
        <w:t xml:space="preserve">be the subset of those fields answered with a definitive "yes" or "no". The ICS for an individual record </w:t>
      </w:r>
      <m:oMath>
        <m:r>
          <w:rPr/>
          <m:t xml:space="preserve">i</m:t>
        </m:r>
      </m:oMath>
      <w:r w:rsidDel="00000000" w:rsidR="00000000" w:rsidRPr="00000000">
        <w:rPr>
          <w:rtl w:val="0"/>
        </w:rPr>
        <w:t xml:space="preserve"> is defined as:</w:t>
      </w:r>
      <w:r w:rsidDel="00000000" w:rsidR="00000000" w:rsidRPr="00000000">
        <w:rPr>
          <w:rtl w:val="0"/>
        </w:rPr>
        <w:br w:type="textWrapping"/>
      </w:r>
    </w:p>
    <w:p w:rsidR="00000000" w:rsidDel="00000000" w:rsidP="00000000" w:rsidRDefault="00000000" w:rsidRPr="00000000" w14:paraId="00000024">
      <w:pPr>
        <w:spacing w:after="80" w:before="80" w:lineRule="auto"/>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ICS</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 </m:t>
        </m:r>
        <m:f>
          <m:fPr>
            <m:ctrlPr>
              <w:rPr>
                <w:rFonts w:ascii="Times New Roman" w:cs="Times New Roman" w:eastAsia="Times New Roman" w:hAnsi="Times New Roman"/>
              </w:rPr>
            </m:ctrlPr>
          </m:fPr>
          <m:num>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Ii </m:t>
                </m:r>
              </m:e>
            </m:d>
          </m:num>
          <m:den>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Bi</m:t>
                </m:r>
              </m:e>
            </m:d>
          </m:den>
        </m:f>
        <m:r>
          <w:rPr>
            <w:rFonts w:ascii="Times New Roman" w:cs="Times New Roman" w:eastAsia="Times New Roman" w:hAnsi="Times New Roman"/>
          </w:rPr>
          <m:t>×</m:t>
        </m:r>
        <m:r>
          <w:rPr>
            <w:rFonts w:ascii="Times New Roman" w:cs="Times New Roman" w:eastAsia="Times New Roman" w:hAnsi="Times New Roman"/>
          </w:rPr>
          <m:t xml:space="preserve"> 100</m:t>
        </m:r>
      </m:oMath>
      <w:r w:rsidDel="00000000" w:rsidR="00000000" w:rsidRPr="00000000">
        <w:rPr>
          <w:rtl w:val="0"/>
        </w:rPr>
      </w:r>
    </w:p>
    <w:p w:rsidR="00000000" w:rsidDel="00000000" w:rsidP="00000000" w:rsidRDefault="00000000" w:rsidRPr="00000000" w14:paraId="0000002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color w:val="0f1115"/>
          <w:sz w:val="24"/>
          <w:szCs w:val="24"/>
          <w:rtl w:val="0"/>
        </w:rPr>
        <w:t xml:space="preserve">where </w:t>
      </w:r>
      <w:r w:rsidDel="00000000" w:rsidR="00000000" w:rsidRPr="00000000">
        <w:rPr>
          <w:rFonts w:ascii="Gungsuh" w:cs="Gungsuh" w:eastAsia="Gungsuh" w:hAnsi="Gungsuh"/>
          <w:color w:val="0f1115"/>
          <w:sz w:val="27"/>
          <w:szCs w:val="27"/>
          <w:rtl w:val="0"/>
        </w:rPr>
        <w:t xml:space="preserve">∣⋅∣</w:t>
      </w:r>
      <w:r w:rsidDel="00000000" w:rsidR="00000000" w:rsidRPr="00000000">
        <w:rPr>
          <w:color w:val="0f1115"/>
          <w:sz w:val="24"/>
          <w:szCs w:val="24"/>
          <w:rtl w:val="0"/>
        </w:rPr>
        <w:t xml:space="preserve"> denotes set cardinality.</w:t>
      </w:r>
      <w:r w:rsidDel="00000000" w:rsidR="00000000" w:rsidRPr="00000000">
        <w:rPr>
          <w:rFonts w:ascii="Roboto" w:cs="Roboto" w:eastAsia="Roboto" w:hAnsi="Roboto"/>
          <w:color w:val="0f1115"/>
          <w:sz w:val="24"/>
          <w:szCs w:val="24"/>
          <w:rtl w:val="0"/>
        </w:rPr>
        <w:t xml:space="preserve"> </w:t>
      </w:r>
      <w:r w:rsidDel="00000000" w:rsidR="00000000" w:rsidRPr="00000000">
        <w:rPr>
          <w:rFonts w:ascii="Gungsuh" w:cs="Gungsuh" w:eastAsia="Gungsuh" w:hAnsi="Gungsuh"/>
          <w:rtl w:val="0"/>
        </w:rPr>
        <w:t xml:space="preserve">ICS ranges from 0% (all responses are "don't know" or "refused") to 100% (all binary responses are informative). A record with ICS=100% does not imply high accuracy, i.e., a respondent may confidently give wrong answers. But a systematically low ICS signals that the respondent could not or did not engage meaningfully with the interview. ICS is computed over all question fields whose names begin with the standard WHO-VA prefix id, restricting to rows with at least one binary response. Tier classification: ICS: High (ICS ≥ 90), Moderate (70–89), Low (&lt; 70).</w:t>
      </w:r>
    </w:p>
    <w:p w:rsidR="00000000" w:rsidDel="00000000" w:rsidP="00000000" w:rsidRDefault="00000000" w:rsidRPr="00000000" w14:paraId="0000002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w1ybourcqe8" w:id="8"/>
      <w:bookmarkEnd w:id="8"/>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x6q9iz5x52a" w:id="9"/>
      <w:bookmarkEnd w:id="9"/>
      <w:r w:rsidDel="00000000" w:rsidR="00000000" w:rsidRPr="00000000">
        <w:rPr>
          <w:rFonts w:ascii="Times New Roman" w:cs="Times New Roman" w:eastAsia="Times New Roman" w:hAnsi="Times New Roman"/>
          <w:b w:val="1"/>
          <w:bCs w:val="1"/>
          <w:color w:val="000000"/>
          <w:sz w:val="22"/>
          <w:szCs w:val="22"/>
          <w:rtl w:val="0"/>
        </w:rPr>
        <w:t xml:space="preserve">2.3.2 Respondent Reliability Score (RRS)</w:t>
      </w:r>
    </w:p>
    <w:p w:rsidR="00000000" w:rsidDel="00000000" w:rsidP="00000000" w:rsidRDefault="00000000" w:rsidRPr="00000000" w14:paraId="0000002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RRS for a single reco</w:t>
      </w:r>
      <w:r w:rsidDel="00000000" w:rsidR="00000000" w:rsidRPr="00000000">
        <w:rPr>
          <w:rtl w:val="0"/>
        </w:rPr>
        <w:t xml:space="preserve">rd </w:t>
      </w:r>
      <m:oMath>
        <m:r>
          <w:rPr/>
          <m:t xml:space="preserve">i</m:t>
        </m:r>
      </m:oMath>
      <w:r w:rsidDel="00000000" w:rsidR="00000000" w:rsidRPr="00000000">
        <w:rPr>
          <w:rFonts w:ascii="Times New Roman" w:cs="Times New Roman" w:eastAsia="Times New Roman" w:hAnsi="Times New Roman"/>
          <w:rtl w:val="0"/>
        </w:rPr>
        <w:t xml:space="preserve"> is a weighted composite of four factors that are empirically associated with the reliability of proxy-reported information: relationship to the deceased, presence at death, recall period, and respondent literacy. </w:t>
      </w:r>
      <w:r w:rsidDel="00000000" w:rsidR="00000000" w:rsidRPr="00000000">
        <w:rPr>
          <w:rtl w:val="0"/>
        </w:rPr>
        <w:t xml:space="preserve">The RSS for an individual record </w:t>
      </w:r>
      <m:oMath>
        <m:r>
          <w:rPr/>
          <m:t xml:space="preserve">i</m:t>
        </m:r>
      </m:oMath>
      <w:r w:rsidDel="00000000" w:rsidR="00000000" w:rsidRPr="00000000">
        <w:rPr>
          <w:rtl w:val="0"/>
        </w:rPr>
        <w:t xml:space="preserve"> is defined as: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80" w:before="80" w:lineRule="auto"/>
        <w:rPr/>
      </w:pPr>
      <m:oMath>
        <m:sSub>
          <m:sSubPr>
            <m:ctrlPr>
              <w:rPr/>
            </m:ctrlPr>
          </m:sSubPr>
          <m:e>
            <m:r>
              <w:rPr/>
              <m:t xml:space="preserve">RSS</m:t>
            </m:r>
          </m:e>
          <m:sub>
            <m:r>
              <w:rPr/>
              <m:t xml:space="preserve">i</m:t>
            </m:r>
          </m:sub>
        </m:sSub>
        <m:r>
          <w:rPr/>
          <m:t xml:space="preserve">= </m:t>
        </m:r>
        <m:sSub>
          <m:sSubPr>
            <m:ctrlPr>
              <w:rPr/>
            </m:ctrlPr>
          </m:sSubPr>
          <m:e>
            <m:r>
              <w:rPr/>
              <m:t xml:space="preserve">W</m:t>
            </m:r>
          </m:e>
          <m:sub>
            <m:r>
              <w:rPr/>
              <m:t xml:space="preserve">rel,i</m:t>
            </m:r>
          </m:sub>
        </m:sSub>
        <m:r>
          <w:rPr/>
          <m:t xml:space="preserve">+</m:t>
        </m:r>
        <m:sSub>
          <m:sSubPr>
            <m:ctrlPr>
              <w:rPr/>
            </m:ctrlPr>
          </m:sSubPr>
          <m:e>
            <m:r>
              <w:rPr/>
              <m:t xml:space="preserve">W</m:t>
            </m:r>
          </m:e>
          <m:sub>
            <m:r>
              <w:rPr/>
              <m:t xml:space="preserve">prox,i</m:t>
            </m:r>
          </m:sub>
        </m:sSub>
        <m:r>
          <w:rPr/>
          <m:t xml:space="preserve">+ </m:t>
        </m:r>
        <m:sSub>
          <m:sSubPr>
            <m:ctrlPr>
              <w:rPr/>
            </m:ctrlPr>
          </m:sSubPr>
          <m:e>
            <m:r>
              <w:rPr/>
              <m:t xml:space="preserve">W</m:t>
            </m:r>
          </m:e>
          <m:sub>
            <m:r>
              <w:rPr/>
              <m:t xml:space="preserve">rec,i</m:t>
            </m:r>
          </m:sub>
        </m:sSub>
        <m:r>
          <w:rPr/>
          <m:t xml:space="preserve"> + </m:t>
        </m:r>
        <m:sSub>
          <m:sSubPr>
            <m:ctrlPr>
              <w:rPr/>
            </m:ctrlPr>
          </m:sSubPr>
          <m:e>
            <m:r>
              <w:rPr/>
              <m:t xml:space="preserve">W</m:t>
            </m:r>
          </m:e>
          <m:sub>
            <m:r>
              <w:rPr/>
              <m:t xml:space="preserve">edu,i</m:t>
            </m:r>
          </m:sub>
        </m:sSub>
      </m:oMath>
      <w:r w:rsidDel="00000000" w:rsidR="00000000" w:rsidRPr="00000000">
        <w:rPr>
          <w:rtl w:val="0"/>
        </w:rPr>
      </w:r>
    </w:p>
    <w:p w:rsidR="00000000" w:rsidDel="00000000" w:rsidP="00000000" w:rsidRDefault="00000000" w:rsidRPr="00000000" w14:paraId="0000002C">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t xml:space="preserve">where each </w:t>
      </w:r>
      <m:oMath>
        <m:r>
          <w:rPr/>
          <m:t xml:space="preserve">W</m:t>
        </m:r>
      </m:oMath>
      <w:r w:rsidDel="00000000" w:rsidR="00000000" w:rsidRPr="00000000">
        <w:rPr>
          <w:rtl w:val="0"/>
        </w:rPr>
        <w:t xml:space="preserve"> component is scored as shown in Table 1, and the maximum possible total is 100 points. Each component is evaluated using fields form the same record </w:t>
      </w:r>
      <m:oMath>
        <m:r>
          <w:rPr/>
          <m:t xml:space="preserve">i</m:t>
        </m:r>
      </m:oMath>
      <w:r w:rsidDel="00000000" w:rsidR="00000000" w:rsidRPr="00000000">
        <w:rPr>
          <w:rtl w:val="0"/>
        </w:rPr>
        <w:t xml:space="preserve">, yielding an individual-level score that can be interpreted as a percentage (0-100%).</w:t>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Respondent Reliability Score</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75"/>
        <w:gridCol w:w="1200"/>
        <w:gridCol w:w="4155"/>
        <w:tblGridChange w:id="0">
          <w:tblGrid>
            <w:gridCol w:w="2775"/>
            <w:gridCol w:w="975"/>
            <w:gridCol w:w="1200"/>
            <w:gridCol w:w="4155"/>
          </w:tblGrid>
        </w:tblGridChange>
      </w:tblGrid>
      <w:tr>
        <w:trPr>
          <w:cantSplit w:val="0"/>
          <w:trHeight w:val="57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Points</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Scoring</w:t>
            </w:r>
          </w:p>
        </w:tc>
      </w:tr>
      <w:tr>
        <w:trPr>
          <w:cantSplit w:val="0"/>
          <w:trHeight w:val="84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w:t>
            </w:r>
            <w:r w:rsidDel="00000000" w:rsidR="00000000" w:rsidRPr="00000000">
              <w:rPr>
                <w:rtl w:val="0"/>
              </w:rPr>
              <w:t xml:space="preserve">(</w:t>
            </w:r>
            <m:oMath>
              <m:sSub>
                <m:sSubPr>
                  <m:ctrlPr>
                    <w:rPr/>
                  </m:ctrlPr>
                </m:sSubPr>
                <m:e>
                  <m:r>
                    <w:rPr/>
                    <m:t xml:space="preserve">W</m:t>
                  </m:r>
                </m:e>
                <m:sub>
                  <m:r>
                    <w:rPr/>
                    <m:t xml:space="preserve">rel</m:t>
                  </m:r>
                </m:sub>
              </m:sSub>
            </m:oMath>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id10008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Spouse/parent/child: 40;</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member: 20;</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10</w:t>
            </w:r>
          </w:p>
        </w:tc>
      </w:tr>
      <w:tr>
        <w:trPr>
          <w:cantSplit w:val="0"/>
          <w:trHeight w:val="55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Presence at death (</w:t>
            </w:r>
            <m:oMath>
              <m:sSub>
                <m:sSubPr>
                  <m:ctrlPr>
                    <w:rPr/>
                  </m:ctrlPr>
                </m:sSubPr>
                <m:e>
                  <m:r>
                    <w:rPr/>
                    <m:t xml:space="preserve">W</m:t>
                  </m:r>
                </m:e>
                <m:sub>
                  <m:r>
                    <w:rPr/>
                    <m:t xml:space="preserve">prox</m:t>
                  </m:r>
                </m:sub>
              </m:sSub>
            </m:oMath>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id10009</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30;</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15</w:t>
            </w:r>
          </w:p>
        </w:tc>
      </w:tr>
      <w:tr>
        <w:trPr>
          <w:cantSplit w:val="0"/>
          <w:trHeight w:val="109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period (</w:t>
            </w:r>
            <m:oMath>
              <m:sSub>
                <m:sSubPr>
                  <m:ctrlPr>
                    <w:rPr/>
                  </m:ctrlPr>
                </m:sSubPr>
                <m:e>
                  <m:r>
                    <w:rPr/>
                    <m:t xml:space="preserve">W</m:t>
                  </m:r>
                </m:e>
                <m:sub>
                  <m:r>
                    <w:rPr/>
                    <m:t xml:space="preserve">rec</m:t>
                  </m:r>
                </m:sub>
              </m:sSub>
            </m:oMath>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id10023, id10012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&lt;90 days: 20;</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90 - 179 days: 15;</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180 - 364 days: 10;</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Gungsuh" w:cs="Gungsuh" w:eastAsia="Gungsuh" w:hAnsi="Gungsuh"/>
                <w:rtl w:val="0"/>
              </w:rPr>
              <w:t xml:space="preserve"> ≥365 days: 0</w:t>
            </w:r>
          </w:p>
        </w:tc>
      </w:tr>
      <w:tr>
        <w:trPr>
          <w:cantSplit w:val="0"/>
          <w:trHeight w:val="701.850585937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Literacy/education (</w:t>
            </w:r>
            <m:oMath>
              <m:sSub>
                <m:sSubPr>
                  <m:ctrlPr>
                    <w:rPr/>
                  </m:ctrlPr>
                </m:sSubPr>
                <m:e>
                  <m:r>
                    <w:rPr/>
                    <m:t xml:space="preserve">W</m:t>
                  </m:r>
                </m:e>
                <m:sub>
                  <m:r>
                    <w:rPr/>
                    <m:t xml:space="preserve">edu</m:t>
                  </m:r>
                </m:sub>
              </m:sSub>
            </m:oMath>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id10064, id10063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Literate or secondary+ education: 10;</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education or illiterate: 5</w:t>
            </w:r>
          </w:p>
        </w:tc>
      </w:tr>
      <w:tr>
        <w:trPr>
          <w:cantSplit w:val="0"/>
          <w:trHeight w:val="701.850585937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t xml:space="preserve">Total</w:t>
            </w: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t xml:space="preserve">100</w:t>
            </w: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t xml:space="preserve">Sum of all four components</w:t>
            </w:r>
            <w:r w:rsidDel="00000000" w:rsidR="00000000" w:rsidRPr="00000000">
              <w:rPr>
                <w:rtl w:val="0"/>
              </w:rPr>
            </w:r>
          </w:p>
        </w:tc>
      </w:tr>
    </w:tbl>
    <w:p w:rsidR="00000000" w:rsidDel="00000000" w:rsidP="00000000" w:rsidRDefault="00000000" w:rsidRPr="00000000" w14:paraId="0000004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rPr/>
      </w:pPr>
      <w:r w:rsidDel="00000000" w:rsidR="00000000" w:rsidRPr="00000000">
        <w:rPr>
          <w:rFonts w:ascii="Gungsuh" w:cs="Gungsuh" w:eastAsia="Gungsuh" w:hAnsi="Gungsuh"/>
          <w:rtl w:val="0"/>
        </w:rPr>
        <w:t xml:space="preserve">Because the four components sum to a maximum of 100, RRS can be interpreted as a percentage reliability score, with higher values indicating more reliable respondents. Tier classification is defined as High (RRS ≥ 80), Moderate (50–79), Low (&lt; 50). Records for which the death date or interview date cannot be parsed are excluded from RRS computation, as the recall period component cannot be determined. Like ICS, RRS can be computed for a single record. </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5fzm2zet43c" w:id="10"/>
      <w:bookmarkEnd w:id="10"/>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l87ms3v74ib" w:id="11"/>
      <w:bookmarkEnd w:id="11"/>
      <w:r w:rsidDel="00000000" w:rsidR="00000000" w:rsidRPr="00000000">
        <w:rPr>
          <w:rFonts w:ascii="Times New Roman" w:cs="Times New Roman" w:eastAsia="Times New Roman" w:hAnsi="Times New Roman"/>
          <w:b w:val="1"/>
          <w:bCs w:val="1"/>
          <w:color w:val="000000"/>
          <w:sz w:val="22"/>
          <w:szCs w:val="22"/>
          <w:rtl w:val="0"/>
        </w:rPr>
        <w:t xml:space="preserve">2.3.3 Internal Consistency Index (ICI)</w:t>
      </w:r>
    </w:p>
    <w:p w:rsidR="00000000" w:rsidDel="00000000" w:rsidP="00000000" w:rsidRDefault="00000000" w:rsidRPr="00000000" w14:paraId="00000053">
      <w:pPr>
        <w:spacing w:after="80" w:before="80" w:lineRule="auto"/>
        <w:rPr/>
      </w:pPr>
      <w:r w:rsidDel="00000000" w:rsidR="00000000" w:rsidRPr="00000000">
        <w:rPr>
          <w:rFonts w:ascii="Times New Roman" w:cs="Times New Roman" w:eastAsia="Times New Roman" w:hAnsi="Times New Roman"/>
          <w:rtl w:val="0"/>
        </w:rPr>
        <w:t xml:space="preserve">The ICI identifies logical contradictions within a VA record with cross-field combinations that are biologically impossible or implausible. For a single record </w:t>
      </w:r>
      <m:oMath>
        <m:r>
          <w:rPr/>
          <m:t xml:space="preserve">i</m:t>
        </m:r>
      </m:oMath>
      <w:r w:rsidDel="00000000" w:rsidR="00000000" w:rsidRPr="00000000">
        <w:rPr>
          <w:rtl w:val="0"/>
        </w:rPr>
        <w:t xml:space="preserve">, define the set of </w:t>
      </w:r>
      <m:oMath>
        <m:r>
          <w:rPr/>
          <m:t xml:space="preserve">N</m:t>
        </m:r>
      </m:oMath>
      <w:r w:rsidDel="00000000" w:rsidR="00000000" w:rsidRPr="00000000">
        <w:rPr>
          <w:rtl w:val="0"/>
        </w:rPr>
        <w:t xml:space="preserve"> consistence rules </w:t>
      </w:r>
      <m:oMath>
        <m:r>
          <m:t>ℜ</m:t>
        </m:r>
        <m:r>
          <w:rPr/>
          <m:t xml:space="preserve">={</m:t>
        </m:r>
        <m:sSub>
          <m:sSubPr>
            <m:ctrlPr>
              <w:rPr/>
            </m:ctrlPr>
          </m:sSubPr>
          <m:e>
            <m:r>
              <w:rPr/>
              <m:t xml:space="preserve">C</m:t>
            </m:r>
          </m:e>
          <m:sub>
            <m:r>
              <w:rPr/>
              <m:t xml:space="preserve">1</m:t>
            </m:r>
          </m:sub>
        </m:sSub>
        <m:r>
          <w:rPr/>
          <m:t xml:space="preserve">, </m:t>
        </m:r>
        <m:sSub>
          <m:sSubPr>
            <m:ctrlPr>
              <w:rPr/>
            </m:ctrlPr>
          </m:sSubPr>
          <m:e>
            <m:r>
              <w:rPr/>
              <m:t xml:space="preserve">C</m:t>
            </m:r>
          </m:e>
          <m:sub>
            <m:r>
              <w:rPr/>
              <m:t xml:space="preserve">2</m:t>
            </m:r>
          </m:sub>
        </m:sSub>
        <m:r>
          <w:rPr/>
          <m:t xml:space="preserve">, . . ., </m:t>
        </m:r>
        <m:sSub>
          <m:sSubPr>
            <m:ctrlPr>
              <w:rPr/>
            </m:ctrlPr>
          </m:sSubPr>
          <m:e>
            <m:r>
              <w:rPr/>
              <m:t xml:space="preserve">C</m:t>
            </m:r>
          </m:e>
          <m:sub>
            <m:r>
              <w:rPr/>
              <m:t xml:space="preserve">N</m:t>
            </m:r>
          </m:sub>
        </m:sSub>
        <m:r>
          <w:rPr/>
          <m:t xml:space="preserve">}</m:t>
        </m:r>
      </m:oMath>
      <w:r w:rsidDel="00000000" w:rsidR="00000000" w:rsidRPr="00000000">
        <w:rPr>
          <w:rtl w:val="0"/>
        </w:rPr>
        <w:t xml:space="preserve">. Let </w:t>
      </w:r>
      <m:oMath>
        <m:r>
          <w:rPr/>
          <m:t xml:space="preserve"> </m:t>
        </m:r>
        <m:sSub>
          <m:sSubPr>
            <m:ctrlPr>
              <w:rPr/>
            </m:ctrlPr>
          </m:sSubPr>
          <m:e>
            <m:r>
              <w:rPr/>
              <m:t xml:space="preserve">V</m:t>
            </m:r>
          </m:e>
          <m:sub>
            <m:r>
              <w:rPr/>
              <m:t xml:space="preserve">i</m:t>
            </m:r>
          </m:sub>
        </m:sSub>
        <m:r>
          <w:rPr/>
          <m:t xml:space="preserve"> </m:t>
        </m:r>
        <m:r>
          <w:rPr/>
          <m:t>⊆</m:t>
        </m:r>
        <m:r>
          <w:rPr/>
          <m:t xml:space="preserve"> </m:t>
        </m:r>
        <m:r>
          <w:rPr/>
          <m:t>ℜ</m:t>
        </m:r>
      </m:oMath>
      <w:r w:rsidDel="00000000" w:rsidR="00000000" w:rsidRPr="00000000">
        <w:rPr>
          <w:rtl w:val="0"/>
        </w:rPr>
        <w:t xml:space="preserve"> be the subset of rules violated by record </w:t>
      </w:r>
      <m:oMath>
        <m:r>
          <w:rPr/>
          <m:t xml:space="preserve">i</m:t>
        </m:r>
      </m:oMath>
      <w:r w:rsidDel="00000000" w:rsidR="00000000" w:rsidRPr="00000000">
        <w:rPr>
          <w:rtl w:val="0"/>
        </w:rPr>
        <w:t xml:space="preserve">. The ICI for record </w:t>
      </w:r>
      <m:oMath>
        <m:r>
          <w:rPr/>
          <m:t xml:space="preserve">i</m:t>
        </m:r>
      </m:oMath>
      <w:r w:rsidDel="00000000" w:rsidR="00000000" w:rsidRPr="00000000">
        <w:rPr>
          <w:rtl w:val="0"/>
        </w:rPr>
        <w:t xml:space="preserve"> is then calculated as:</w:t>
      </w:r>
    </w:p>
    <w:p w:rsidR="00000000" w:rsidDel="00000000" w:rsidP="00000000" w:rsidRDefault="00000000" w:rsidRPr="00000000" w14:paraId="00000054">
      <w:pPr>
        <w:spacing w:after="80" w:before="80" w:lineRule="auto"/>
        <w:rPr/>
      </w:pPr>
      <m:oMath>
        <m:sSub>
          <m:sSubPr>
            <m:ctrlPr>
              <w:rPr/>
            </m:ctrlPr>
          </m:sSubPr>
          <m:e>
            <m:r>
              <w:rPr/>
              <m:t xml:space="preserve">ICI</m:t>
            </m:r>
          </m:e>
          <m:sub>
            <m:r>
              <w:rPr/>
              <m:t xml:space="preserve">i</m:t>
            </m:r>
          </m:sub>
        </m:sSub>
        <m:r>
          <w:rPr/>
          <m:t xml:space="preserve">= </m:t>
        </m:r>
        <m:f>
          <m:fPr>
            <m:ctrlPr>
              <w:rPr/>
            </m:ctrlPr>
          </m:fPr>
          <m:num>
            <m:d>
              <m:dPr>
                <m:begChr m:val="|"/>
                <m:endChr m:val="|"/>
                <m:ctrlPr>
                  <w:rPr/>
                </m:ctrlPr>
              </m:dPr>
              <m:e>
                <m:r>
                  <w:rPr/>
                  <m:t>ℜ</m:t>
                </m:r>
              </m:e>
            </m:d>
            <m:r>
              <w:rPr/>
              <m:t xml:space="preserve"> - </m:t>
            </m:r>
            <m:d>
              <m:dPr>
                <m:begChr m:val="|"/>
                <m:endChr m:val="|"/>
                <m:ctrlPr>
                  <w:rPr/>
                </m:ctrlPr>
              </m:dPr>
              <m:e>
                <m:sSub>
                  <m:sSubPr>
                    <m:ctrlPr>
                      <w:rPr/>
                    </m:ctrlPr>
                  </m:sSubPr>
                  <m:e>
                    <m:r>
                      <w:rPr/>
                      <m:t xml:space="preserve">V</m:t>
                    </m:r>
                  </m:e>
                  <m:sub>
                    <m:r>
                      <w:rPr/>
                      <m:t xml:space="preserve">i</m:t>
                    </m:r>
                  </m:sub>
                </m:sSub>
              </m:e>
            </m:d>
          </m:num>
          <m:den>
            <m:d>
              <m:dPr>
                <m:begChr m:val="|"/>
                <m:endChr m:val="|"/>
                <m:ctrlPr>
                  <w:rPr/>
                </m:ctrlPr>
              </m:dPr>
              <m:e>
                <m:r>
                  <w:rPr/>
                  <m:t>ℜ</m:t>
                </m:r>
              </m:e>
            </m:d>
          </m:den>
        </m:f>
        <m:r>
          <w:rPr/>
          <m:t>×</m:t>
        </m:r>
        <m:r>
          <w:rPr/>
          <m:t xml:space="preserve">100 = </m:t>
        </m:r>
        <m:f>
          <m:fPr>
            <m:ctrlPr>
              <w:rPr/>
            </m:ctrlPr>
          </m:fPr>
          <m:num>
            <m:r>
              <w:rPr/>
              <m:t xml:space="preserve">N-</m:t>
            </m:r>
            <m:d>
              <m:dPr>
                <m:begChr m:val="|"/>
                <m:endChr m:val="|"/>
                <m:ctrlPr>
                  <w:rPr/>
                </m:ctrlPr>
              </m:dPr>
              <m:e>
                <m:sSub>
                  <m:sSubPr>
                    <m:ctrlPr>
                      <w:rPr/>
                    </m:ctrlPr>
                  </m:sSubPr>
                  <m:e>
                    <m:r>
                      <w:rPr/>
                      <m:t xml:space="preserve">V</m:t>
                    </m:r>
                  </m:e>
                  <m:sub>
                    <m:r>
                      <w:rPr/>
                      <m:t xml:space="preserve">i</m:t>
                    </m:r>
                  </m:sub>
                </m:sSub>
              </m:e>
            </m:d>
          </m:num>
          <m:den>
            <m:r>
              <w:rPr/>
              <m:t xml:space="preserve">N</m:t>
            </m:r>
          </m:den>
        </m:f>
        <m:r>
          <w:rPr/>
          <m:t>×</m:t>
        </m:r>
        <m:r>
          <w:rPr/>
          <m:t xml:space="preserve">100</m:t>
        </m:r>
      </m:oMath>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t xml:space="preserve">Where </w:t>
      </w:r>
      <m:oMath>
        <m:d>
          <m:dPr>
            <m:begChr m:val="|"/>
            <m:endChr m:val="|"/>
          </m:dPr>
          <m:e>
            <m:sSub>
              <m:sSubPr>
                <m:ctrlPr>
                  <w:rPr/>
                </m:ctrlPr>
              </m:sSubPr>
              <m:e>
                <m:r>
                  <w:rPr/>
                  <m:t xml:space="preserve">V</m:t>
                </m:r>
              </m:e>
              <m:sub>
                <m:r>
                  <w:rPr/>
                  <m:t xml:space="preserve">i</m:t>
                </m:r>
              </m:sub>
            </m:sSub>
          </m:e>
        </m:d>
      </m:oMath>
      <w:r w:rsidDel="00000000" w:rsidR="00000000" w:rsidRPr="00000000">
        <w:rPr>
          <w:rtl w:val="0"/>
        </w:rPr>
        <w:t xml:space="preserve"> is the number of violated rules. This produces an individual score from 0% (all </w:t>
      </w:r>
      <m:oMath>
        <m:r>
          <w:rPr/>
          <m:t xml:space="preserve">N</m:t>
        </m:r>
      </m:oMath>
      <w:r w:rsidDel="00000000" w:rsidR="00000000" w:rsidRPr="00000000">
        <w:rPr>
          <w:rtl w:val="0"/>
        </w:rPr>
        <w:t xml:space="preserve"> rules violated) to 100% (no violations). A record with any violation receives a penalty proportional to the number of contradictions present. The </w:t>
      </w:r>
      <w:r w:rsidDel="00000000" w:rsidR="00000000" w:rsidRPr="00000000">
        <w:rPr>
          <w:rFonts w:ascii="Times New Roman" w:cs="Times New Roman" w:eastAsia="Times New Roman" w:hAnsi="Times New Roman"/>
          <w:rtl w:val="0"/>
        </w:rPr>
        <w:t xml:space="preserve">consistency rules are evaluated per record</w:t>
      </w:r>
      <w:r w:rsidDel="00000000" w:rsidR="00000000" w:rsidRPr="00000000">
        <w:rPr>
          <w:rtl w:val="0"/>
        </w:rPr>
        <w:t xml:space="preserve">.</w:t>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Internal Consistence Index (ICI)</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920"/>
        <w:gridCol w:w="5790"/>
        <w:tblGridChange w:id="0">
          <w:tblGrid>
            <w:gridCol w:w="705"/>
            <w:gridCol w:w="1920"/>
            <w:gridCol w:w="5790"/>
          </w:tblGrid>
        </w:tblGridChange>
      </w:tblGrid>
      <w:tr>
        <w:trPr>
          <w:cantSplit w:val="0"/>
          <w:trHeight w:val="450" w:hRule="atLeast"/>
          <w:tblHeader w:val="1"/>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id10019, id10305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80" w:before="80" w:lineRule="auto"/>
              <w:rPr>
                <w:rFonts w:ascii="Times New Roman" w:cs="Times New Roman" w:eastAsia="Times New Roman" w:hAnsi="Times New Roman"/>
              </w:rPr>
            </w:pPr>
            <w:r w:rsidDel="00000000" w:rsidR="00000000" w:rsidRPr="00000000">
              <w:rPr>
                <w:sz w:val="24"/>
                <w:szCs w:val="24"/>
                <w:rtl w:val="0"/>
              </w:rPr>
              <w:t xml:space="preserve">Pregnancy reported for a male decedent</w:t>
            </w:r>
            <w:r w:rsidDel="00000000" w:rsidR="00000000" w:rsidRPr="00000000">
              <w:rPr>
                <w:rtl w:val="0"/>
              </w:rPr>
              <w:t xml:space="preserve"> </w:t>
            </w:r>
            <w:r w:rsidDel="00000000" w:rsidR="00000000" w:rsidRPr="00000000">
              <w:rPr>
                <w:rtl w:val="0"/>
              </w:rPr>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id10153, id10157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reported in cough without cough</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id10148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Fever duration (days) exceeds total illness duration (days)</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id10154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Cough duration exceeds total illness duration</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id10182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Diarrhoea duration exceeds total illness duration</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id10161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Breathlessness duration exceeds total illness duration</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40" w:lineRule="auto"/>
              <w:rPr>
                <w:b w:val="1"/>
                <w:bCs w:val="1"/>
              </w:rPr>
            </w:pPr>
            <w:commentRangeStart w:id="0"/>
            <w:commentRangeStart w:id="1"/>
            <w:r w:rsidDel="00000000" w:rsidR="00000000" w:rsidRPr="00000000">
              <w:rPr>
                <w:b w:val="1"/>
                <w:bCs w:val="1"/>
                <w:rtl w:val="0"/>
              </w:rPr>
              <w:t xml:space="preserve">C7</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id10019, id10109, id10110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Pregnancy-related symptoms reported for male</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40" w:lineRule="auto"/>
              <w:rPr>
                <w:b w:val="1"/>
                <w:bCs w:val="1"/>
              </w:rPr>
            </w:pPr>
            <w:r w:rsidDel="00000000" w:rsidR="00000000" w:rsidRPr="00000000">
              <w:rPr>
                <w:b w:val="1"/>
                <w:bCs w:val="1"/>
                <w:rtl w:val="0"/>
              </w:rPr>
              <w:t xml:space="preserve">C8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id10019, id10344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Maternal death questions answered for male decedent</w:t>
            </w:r>
          </w:p>
        </w:tc>
      </w:tr>
      <w:tr>
        <w:trPr>
          <w:cantSplit w:val="0"/>
          <w:trHeight w:val="450" w:hRule="atLeast"/>
          <w:tblHeader w:val="1"/>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40" w:lineRule="auto"/>
              <w:rPr>
                <w:b w:val="1"/>
                <w:bCs w:val="1"/>
              </w:rPr>
            </w:pPr>
            <w:r w:rsidDel="00000000" w:rsidR="00000000" w:rsidRPr="00000000">
              <w:rPr>
                <w:b w:val="1"/>
                <w:bCs w:val="1"/>
                <w:rtl w:val="0"/>
              </w:rPr>
              <w:t xml:space="preserve">C9</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id10023, id10012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Death date precedes interview date (temporal consistency)</w:t>
            </w:r>
          </w:p>
        </w:tc>
      </w:tr>
    </w:tbl>
    <w:p w:rsidR="00000000" w:rsidDel="00000000" w:rsidP="00000000" w:rsidRDefault="00000000" w:rsidRPr="00000000" w14:paraId="0000007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80" w:before="80" w:lineRule="auto"/>
        <w:rPr>
          <w:rFonts w:ascii="Times New Roman" w:cs="Times New Roman" w:eastAsia="Times New Roman" w:hAnsi="Times New Roman"/>
        </w:rPr>
      </w:pPr>
      <w:r w:rsidDel="00000000" w:rsidR="00000000" w:rsidRPr="00000000">
        <w:rPr>
          <w:rtl w:val="0"/>
        </w:rPr>
        <w:t xml:space="preserve">ICI t</w:t>
      </w:r>
      <w:r w:rsidDel="00000000" w:rsidR="00000000" w:rsidRPr="00000000">
        <w:rPr>
          <w:rFonts w:ascii="Times New Roman" w:cs="Times New Roman" w:eastAsia="Times New Roman" w:hAnsi="Times New Roman"/>
          <w:rtl w:val="0"/>
        </w:rPr>
        <w:t xml:space="preserve">ier classification</w:t>
      </w:r>
      <w:r w:rsidDel="00000000" w:rsidR="00000000" w:rsidRPr="00000000">
        <w:rPr>
          <w:rtl w:val="0"/>
        </w:rPr>
        <w:t xml:space="preserve"> is defined as</w:t>
      </w:r>
      <w:r w:rsidDel="00000000" w:rsidR="00000000" w:rsidRPr="00000000">
        <w:rPr>
          <w:rFonts w:ascii="Gungsuh" w:cs="Gungsuh" w:eastAsia="Gungsuh" w:hAnsi="Gungsuh"/>
          <w:rtl w:val="0"/>
        </w:rPr>
        <w:t xml:space="preserve"> Excellent (ICI ≥ 90%), Good (70–89%), Critical (&lt; 70%). At the individual record level, each violation is flagged directly. The ICI is most informative when stratified by interviewer, as systematic violations point to training gaps with a specific interviewer rather than random errors distributed across a team.</w:t>
      </w:r>
    </w:p>
    <w:p w:rsidR="00000000" w:rsidDel="00000000" w:rsidP="00000000" w:rsidRDefault="00000000" w:rsidRPr="00000000" w14:paraId="0000007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2.3.4 Average Interview Duration (AID)</w:t>
      </w:r>
    </w:p>
    <w:p w:rsidR="00000000" w:rsidDel="00000000" w:rsidP="00000000" w:rsidRDefault="00000000" w:rsidRPr="00000000" w14:paraId="0000007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AID is the elapsed time in minutes between interview start (id10011) and interview end (id10481). Duration is computed as:</w:t>
        <w:br w:type="textWrapping"/>
      </w:r>
    </w:p>
    <w:p w:rsidR="00000000" w:rsidDel="00000000" w:rsidP="00000000" w:rsidRDefault="00000000" w:rsidRPr="00000000" w14:paraId="0000007E">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AID</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 </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(id10481</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id10011</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num>
          <m:den>
            <m:r>
              <w:rPr>
                <w:rFonts w:ascii="Times New Roman" w:cs="Times New Roman" w:eastAsia="Times New Roman" w:hAnsi="Times New Roman"/>
              </w:rPr>
              <m:t xml:space="preserve">60</m:t>
            </m:r>
          </m:den>
        </m:f>
        <m:r>
          <w:rPr>
            <w:rFonts w:ascii="Times New Roman" w:cs="Times New Roman" w:eastAsia="Times New Roman" w:hAnsi="Times New Roman"/>
          </w:rPr>
          <m:t xml:space="preserve"> minutes</m:t>
        </m:r>
      </m:oMath>
      <w:r w:rsidDel="00000000" w:rsidR="00000000" w:rsidRPr="00000000">
        <w:rPr>
          <w:rtl w:val="0"/>
        </w:rPr>
      </w:r>
    </w:p>
    <w:p w:rsidR="00000000" w:rsidDel="00000000" w:rsidP="00000000" w:rsidRDefault="00000000" w:rsidRPr="00000000" w14:paraId="0000007F">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80" w:before="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Records with non-positive or implausible durations (≥ 480 minutes, i.e., 8 hours) are excluded from analysis. The 480-minute threshold was chosen to filter multi-day data entry artefacts while retaining genuinely long interviews. Median AID is the preferred summary statistic due to skewness caused by outliers and data entry errors; the mean and percentile distribution are reported to characterise the full range.</w:t>
      </w:r>
    </w:p>
    <w:p w:rsidR="00000000" w:rsidDel="00000000" w:rsidP="00000000" w:rsidRDefault="00000000" w:rsidRPr="00000000" w14:paraId="0000008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limitation applies to the 2016 WHO-VA instrument: the fields id10011 and id10481 store only the time of day (HH:MM:SS) without a date component. For such datasets, duration computation is possible only when start and end times fall on the same calendar day; a midnight crossing cannot be detected and would yield an erroneous negative duration (handled by modular addition of 1,440 minutes), and the 480-minute cap prevents inclusion of cross-day artefacts. In the 2022 instrument, these fields store full ISO 8601 datetimes, allowing duration computation across date boundaries.</w:t>
      </w:r>
    </w:p>
    <w:p w:rsidR="00000000" w:rsidDel="00000000" w:rsidP="00000000" w:rsidRDefault="00000000" w:rsidRPr="00000000" w14:paraId="0000008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spacing w:after="80" w:before="80" w:lineRule="auto"/>
        <w:rPr>
          <w:b w:val="1"/>
          <w:bCs w:val="1"/>
        </w:rPr>
      </w:pPr>
      <w:r w:rsidDel="00000000" w:rsidR="00000000" w:rsidRPr="00000000">
        <w:rPr>
          <w:b w:val="1"/>
          <w:bCs w:val="1"/>
          <w:rtl w:val="0"/>
        </w:rPr>
        <w:t xml:space="preserve">2.4 Dataset-Level Aggregate Quality Summary Score</w:t>
      </w:r>
    </w:p>
    <w:p w:rsidR="00000000" w:rsidDel="00000000" w:rsidP="00000000" w:rsidRDefault="00000000" w:rsidRPr="00000000" w14:paraId="00000085">
      <w:pPr>
        <w:rPr/>
      </w:pPr>
      <w:r w:rsidDel="00000000" w:rsidR="00000000" w:rsidRPr="00000000">
        <w:rPr>
          <w:rtl w:val="0"/>
        </w:rPr>
        <w:t xml:space="preserve">While all four indicators are defined at the individual record level, they can be aggregated to produce dataset- or interviewer-level summary scores. For each indicator </w:t>
      </w:r>
      <m:oMath>
        <m:r>
          <w:rPr/>
          <m:t xml:space="preserve">Q</m:t>
        </m:r>
        <m:r>
          <w:rPr/>
          <m:t>∈</m:t>
        </m:r>
        <m:r>
          <w:rPr/>
          <m:t xml:space="preserve"> {ICS, RRS, ICI, AID}</m:t>
        </m:r>
      </m:oMath>
      <w:r w:rsidDel="00000000" w:rsidR="00000000" w:rsidRPr="00000000">
        <w:rPr>
          <w:rtl w:val="0"/>
        </w:rPr>
        <w:t xml:space="preserve">, the aggregate score for a set of </w:t>
      </w:r>
      <m:oMath>
        <m:r>
          <w:rPr/>
          <m:t xml:space="preserve">N</m:t>
        </m:r>
      </m:oMath>
      <w:r w:rsidDel="00000000" w:rsidR="00000000" w:rsidRPr="00000000">
        <w:rPr>
          <w:rtl w:val="0"/>
        </w:rPr>
        <w:t xml:space="preserve"> records is defined as:</w:t>
      </w:r>
    </w:p>
    <w:p w:rsidR="00000000" w:rsidDel="00000000" w:rsidP="00000000" w:rsidRDefault="00000000" w:rsidRPr="00000000" w14:paraId="00000086">
      <w:pPr>
        <w:spacing w:after="80" w:before="80" w:lineRule="auto"/>
        <w:rPr/>
      </w:pPr>
      <m:oMath>
        <m:sSub>
          <m:sSubPr>
            <m:ctrlPr>
              <w:rPr/>
            </m:ctrlPr>
          </m:sSubPr>
          <m:e>
            <m:r>
              <w:rPr/>
              <m:t xml:space="preserve">Q</m:t>
            </m:r>
          </m:e>
          <m:sub>
            <m:r>
              <w:rPr/>
              <m:t xml:space="preserve">dataset </m:t>
            </m:r>
          </m:sub>
        </m:sSub>
        <m:r>
          <w:rPr/>
          <m:t xml:space="preserve">=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Q</m:t>
            </m:r>
          </m:e>
          <m:sub>
            <m:r>
              <w:rPr/>
              <m:t xml:space="preserve">i</m:t>
            </m:r>
          </m:sub>
        </m:sSub>
      </m:oMath>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t xml:space="preserve">for ICS, RSS and ICI. For AID, the median is the preferred summary statistics due to right-skewed distributions, although the mean can also be reported. These aggregate scores enable supervisors to:</w:t>
      </w:r>
    </w:p>
    <w:p w:rsidR="00000000" w:rsidDel="00000000" w:rsidP="00000000" w:rsidRDefault="00000000" w:rsidRPr="00000000" w14:paraId="00000088">
      <w:pPr>
        <w:numPr>
          <w:ilvl w:val="0"/>
          <w:numId w:val="1"/>
        </w:numPr>
        <w:spacing w:after="0" w:afterAutospacing="0" w:before="80" w:lineRule="auto"/>
        <w:ind w:left="720" w:hanging="360"/>
        <w:rPr>
          <w:u w:val="none"/>
        </w:rPr>
      </w:pPr>
      <w:r w:rsidDel="00000000" w:rsidR="00000000" w:rsidRPr="00000000">
        <w:rPr>
          <w:rtl w:val="0"/>
        </w:rPr>
        <w:t xml:space="preserve">Monitor trends over time (e.g., weekly average ICS)</w:t>
      </w:r>
    </w:p>
    <w:p w:rsidR="00000000" w:rsidDel="00000000" w:rsidP="00000000" w:rsidRDefault="00000000" w:rsidRPr="00000000" w14:paraId="00000089">
      <w:pPr>
        <w:numPr>
          <w:ilvl w:val="0"/>
          <w:numId w:val="1"/>
        </w:numPr>
        <w:spacing w:after="0" w:afterAutospacing="0" w:before="0" w:beforeAutospacing="0" w:lineRule="auto"/>
        <w:ind w:left="720" w:hanging="360"/>
        <w:rPr>
          <w:u w:val="none"/>
        </w:rPr>
      </w:pPr>
      <w:r w:rsidDel="00000000" w:rsidR="00000000" w:rsidRPr="00000000">
        <w:rPr>
          <w:rtl w:val="0"/>
        </w:rPr>
        <w:t xml:space="preserve">Compare interviewers (e.g., average RRS per enumerator)</w:t>
      </w:r>
    </w:p>
    <w:p w:rsidR="00000000" w:rsidDel="00000000" w:rsidP="00000000" w:rsidRDefault="00000000" w:rsidRPr="00000000" w14:paraId="0000008A">
      <w:pPr>
        <w:numPr>
          <w:ilvl w:val="0"/>
          <w:numId w:val="1"/>
        </w:numPr>
        <w:spacing w:after="0" w:afterAutospacing="0" w:before="0" w:beforeAutospacing="0" w:lineRule="auto"/>
        <w:ind w:left="720" w:hanging="360"/>
        <w:rPr>
          <w:u w:val="none"/>
        </w:rPr>
      </w:pPr>
      <w:r w:rsidDel="00000000" w:rsidR="00000000" w:rsidRPr="00000000">
        <w:rPr>
          <w:rtl w:val="0"/>
        </w:rPr>
        <w:t xml:space="preserve">Benchmark sites or regions (e.g., average ICI by districts)</w:t>
      </w:r>
    </w:p>
    <w:p w:rsidR="00000000" w:rsidDel="00000000" w:rsidP="00000000" w:rsidRDefault="00000000" w:rsidRPr="00000000" w14:paraId="0000008B">
      <w:pPr>
        <w:numPr>
          <w:ilvl w:val="0"/>
          <w:numId w:val="1"/>
        </w:numPr>
        <w:spacing w:after="80" w:before="0" w:beforeAutospacing="0" w:lineRule="auto"/>
        <w:ind w:left="720" w:hanging="360"/>
        <w:rPr>
          <w:u w:val="none"/>
        </w:rPr>
      </w:pPr>
      <w:r w:rsidDel="00000000" w:rsidR="00000000" w:rsidRPr="00000000">
        <w:rPr>
          <w:rtl w:val="0"/>
        </w:rPr>
        <w:t xml:space="preserve">Trigger alerts with aggregate score fall below acceptable thresholds</w:t>
      </w:r>
    </w:p>
    <w:p w:rsidR="00000000" w:rsidDel="00000000" w:rsidP="00000000" w:rsidRDefault="00000000" w:rsidRPr="00000000" w14:paraId="0000008C">
      <w:pPr>
        <w:spacing w:after="80" w:before="8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Importantly, the aggregation does not require a minimum sample size; even small batches of 10 to 20 records can yield informative summary scores, allowing continuous quality monitoring rather than periodic, post-hoc assessments.</w:t>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vy0sj32npvy" w:id="12"/>
      <w:bookmarkEnd w:id="12"/>
      <w:r w:rsidDel="00000000" w:rsidR="00000000" w:rsidRPr="00000000">
        <w:rPr>
          <w:rFonts w:ascii="Times New Roman" w:cs="Times New Roman" w:eastAsia="Times New Roman" w:hAnsi="Times New Roman"/>
          <w:b w:val="1"/>
          <w:bCs w:val="1"/>
          <w:sz w:val="22"/>
          <w:szCs w:val="22"/>
          <w:rtl w:val="0"/>
        </w:rPr>
        <w:t xml:space="preserve"> 2.</w:t>
      </w:r>
      <w:r w:rsidDel="00000000" w:rsidR="00000000" w:rsidRPr="00000000">
        <w:rPr>
          <w:b w:val="1"/>
          <w:bCs w:val="1"/>
          <w:sz w:val="22"/>
          <w:szCs w:val="22"/>
          <w:rtl w:val="0"/>
        </w:rPr>
        <w:t xml:space="preserve">5</w:t>
      </w:r>
      <w:r w:rsidDel="00000000" w:rsidR="00000000" w:rsidRPr="00000000">
        <w:rPr>
          <w:rFonts w:ascii="Times New Roman" w:cs="Times New Roman" w:eastAsia="Times New Roman" w:hAnsi="Times New Roman"/>
          <w:b w:val="1"/>
          <w:bCs w:val="1"/>
          <w:sz w:val="22"/>
          <w:szCs w:val="22"/>
          <w:rtl w:val="0"/>
        </w:rPr>
        <w:t xml:space="preserve"> Datasets</w:t>
      </w:r>
    </w:p>
    <w:p w:rsidR="00000000" w:rsidDel="00000000" w:rsidP="00000000" w:rsidRDefault="00000000" w:rsidRPr="00000000" w14:paraId="0000008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national VA datasets were used to illustrate indicator performance: </w:t>
      </w:r>
    </w:p>
    <w:p w:rsidR="00000000" w:rsidDel="00000000" w:rsidP="00000000" w:rsidRDefault="00000000" w:rsidRPr="00000000" w14:paraId="0000009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Eswatini </w:t>
      </w:r>
      <w:r w:rsidDel="00000000" w:rsidR="00000000" w:rsidRPr="00000000">
        <w:rPr>
          <w:b w:val="1"/>
          <w:bCs w:val="1"/>
          <w:rtl w:val="0"/>
        </w:rPr>
        <w:t xml:space="preserve">(va_2022_es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 dataset of 380 VA records collected using the 2022 WHO-VA instrument. All four indicators were computable; interview start and end times were stored as full ISO 8601 datetimes with timezone offsets.</w:t>
      </w:r>
    </w:p>
    <w:p w:rsidR="00000000" w:rsidDel="00000000" w:rsidP="00000000" w:rsidRDefault="00000000" w:rsidRPr="00000000" w14:paraId="0000009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Tanzania </w:t>
      </w:r>
      <w:r w:rsidDel="00000000" w:rsidR="00000000" w:rsidRPr="00000000">
        <w:rPr>
          <w:b w:val="1"/>
          <w:bCs w:val="1"/>
          <w:rtl w:val="0"/>
        </w:rPr>
        <w:t xml:space="preserve">(va</w:t>
      </w:r>
      <w:r w:rsidDel="00000000" w:rsidR="00000000" w:rsidRPr="00000000">
        <w:rPr>
          <w:rFonts w:ascii="Times New Roman" w:cs="Times New Roman" w:eastAsia="Times New Roman" w:hAnsi="Times New Roman"/>
          <w:b w:val="1"/>
          <w:bCs w:val="1"/>
          <w:rtl w:val="0"/>
        </w:rPr>
        <w:t xml:space="preserve">_2016_</w:t>
      </w:r>
      <w:r w:rsidDel="00000000" w:rsidR="00000000" w:rsidRPr="00000000">
        <w:rPr>
          <w:b w:val="1"/>
          <w:bCs w:val="1"/>
          <w:rtl w:val="0"/>
        </w:rPr>
        <w:t xml:space="preserve">tz</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 dataset of 3,601 VA records collected using the 2016 WHO-VA instrument. ICS, RRS, and ICI were fully computable. AID was computed with the time-only limitation described above; records with cross-midnight or multi-day patterns are excluded by the 480-minute cap. The dataset contained duplicate column headers for a subset of fields; the first occurrence was retained.</w:t>
      </w:r>
    </w:p>
    <w:p w:rsidR="00000000" w:rsidDel="00000000" w:rsidP="00000000" w:rsidRDefault="00000000" w:rsidRPr="00000000" w14:paraId="0000009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Nigeria (</w:t>
      </w:r>
      <w:r w:rsidDel="00000000" w:rsidR="00000000" w:rsidRPr="00000000">
        <w:rPr>
          <w:b w:val="1"/>
          <w:bCs w:val="1"/>
          <w:rtl w:val="0"/>
        </w:rPr>
        <w:t xml:space="preserve">va_2022_ng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 dataset of 5,468 VA records collected using the 2022 WHO-VA instrument. ICS and ICI were fully computable. The fields required for RRS (id10008, relationship to deceased; id10012, interview date) and AID (id10011, interview start time; id10481, interview end time) were absent from this dataset, precluding computation of those two indicators.</w:t>
      </w:r>
    </w:p>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80" w:before="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2.5 Statistical Analysis</w:t>
      </w:r>
    </w:p>
    <w:p w:rsidR="00000000" w:rsidDel="00000000" w:rsidP="00000000" w:rsidRDefault="00000000" w:rsidRPr="00000000" w14:paraId="0000009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 statistics (mean, median, standard deviation, minimum, maximum, 5th and 95th percentiles) were computed for ICS and AID. For RRS, tier distributions (High/Moderate/Low) were reported in addition to continuous summary statistics. For ICI, the proportion of records passing all consistency checks and the absolute count of violations per rule were reported. All analyses were performed in Python 3.11 using pandas and NumPy. All indicator computations are designed to be reproducible from the raw CSV exports of WHO-VA instruments. Source code for the </w:t>
      </w:r>
      <w:r w:rsidDel="00000000" w:rsidR="00000000" w:rsidRPr="00000000">
        <w:rPr>
          <w:rtl w:val="0"/>
        </w:rPr>
        <w:t xml:space="preserve">python library to calculate the proposed indicators is available on github [</w:t>
      </w:r>
      <w:commentRangeStart w:id="2"/>
      <w:r w:rsidDel="00000000" w:rsidR="00000000" w:rsidRPr="00000000">
        <w:rPr>
          <w:rtl w:val="0"/>
        </w:rPr>
        <w:t xml:space="preserve">ref</w:t>
      </w:r>
      <w:commentRangeEnd w:id="2"/>
      <w:r w:rsidDel="00000000" w:rsidR="00000000" w:rsidRPr="00000000">
        <w:commentReference w:id="2"/>
      </w:r>
      <w:r w:rsidDel="00000000" w:rsidR="00000000" w:rsidRPr="00000000">
        <w:rPr>
          <w:rtl w:val="0"/>
        </w:rPr>
        <w:t xml:space="preserve">]. A compiled version (sandbox) is also available online with sample data for testing purposes [</w:t>
      </w:r>
      <w:commentRangeStart w:id="3"/>
      <w:r w:rsidDel="00000000" w:rsidR="00000000" w:rsidRPr="00000000">
        <w:rPr>
          <w:rtl w:val="0"/>
        </w:rPr>
        <w:t xml:space="preserve">ref</w:t>
      </w:r>
      <w:commentRangeEnd w:id="3"/>
      <w:r w:rsidDel="00000000" w:rsidR="00000000" w:rsidRPr="00000000">
        <w:commentReference w:id="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izd452ikz60" w:id="13"/>
      <w:bookmarkEnd w:id="13"/>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xx36ci9zfda2" w:id="14"/>
      <w:bookmarkEnd w:id="14"/>
      <w:r w:rsidDel="00000000" w:rsidR="00000000" w:rsidRPr="00000000">
        <w:rPr>
          <w:rFonts w:ascii="Times New Roman" w:cs="Times New Roman" w:eastAsia="Times New Roman" w:hAnsi="Times New Roman"/>
          <w:b w:val="1"/>
          <w:bCs w:val="1"/>
          <w:sz w:val="22"/>
          <w:szCs w:val="22"/>
          <w:rtl w:val="0"/>
        </w:rPr>
        <w:t xml:space="preserve">3. Results</w:t>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rPr>
      </w:pPr>
      <w:bookmarkStart w:colFirst="0" w:colLast="0" w:name="_hqxbi9e6srua" w:id="15"/>
      <w:bookmarkEnd w:id="15"/>
      <w:r w:rsidDel="00000000" w:rsidR="00000000" w:rsidRPr="00000000">
        <w:rPr>
          <w:rFonts w:ascii="Times New Roman" w:cs="Times New Roman" w:eastAsia="Times New Roman" w:hAnsi="Times New Roman"/>
          <w:b w:val="1"/>
          <w:bCs w:val="1"/>
          <w:sz w:val="22"/>
          <w:szCs w:val="22"/>
          <w:rtl w:val="0"/>
        </w:rPr>
        <w:t xml:space="preserve">3.1 Dataset Overview </w:t>
      </w:r>
      <w:r w:rsidDel="00000000" w:rsidR="00000000" w:rsidRPr="00000000">
        <w:rPr>
          <w:rtl w:val="0"/>
        </w:rPr>
      </w:r>
    </w:p>
    <w:p w:rsidR="00000000" w:rsidDel="00000000" w:rsidP="00000000" w:rsidRDefault="00000000" w:rsidRPr="00000000" w14:paraId="00000099">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w:t>
      </w: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rtl w:val="0"/>
        </w:rPr>
        <w:t xml:space="preserve">. Dataset characteristics</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095"/>
        <w:gridCol w:w="1605"/>
        <w:gridCol w:w="765"/>
        <w:gridCol w:w="2310"/>
        <w:gridCol w:w="1890"/>
        <w:tblGridChange w:id="0">
          <w:tblGrid>
            <w:gridCol w:w="1440"/>
            <w:gridCol w:w="1095"/>
            <w:gridCol w:w="1605"/>
            <w:gridCol w:w="765"/>
            <w:gridCol w:w="2310"/>
            <w:gridCol w:w="1890"/>
          </w:tblGrid>
        </w:tblGridChange>
      </w:tblGrid>
      <w:tr>
        <w:trPr>
          <w:cantSplit w:val="0"/>
          <w:trHeight w:val="72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Country</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WHO-VA version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AID computable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RRS computable</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va_2022_es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Eswatini</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(full datetime)</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va_2016_tz</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Tanzania</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(time-only)</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630.9252929687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va_2022_ng</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(fields absent)</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B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4">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w:t>
      </w: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rtl w:val="0"/>
        </w:rPr>
        <w:t xml:space="preserve">. ICS results by dataset</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
        <w:gridCol w:w="711.0000000000001"/>
        <w:gridCol w:w="1110"/>
        <w:gridCol w:w="1215"/>
        <w:gridCol w:w="540"/>
        <w:gridCol w:w="1005"/>
        <w:gridCol w:w="1230"/>
        <w:gridCol w:w="1350"/>
        <w:tblGridChange w:id="0">
          <w:tblGrid>
            <w:gridCol w:w="1959"/>
            <w:gridCol w:w="711.0000000000001"/>
            <w:gridCol w:w="1110"/>
            <w:gridCol w:w="1215"/>
            <w:gridCol w:w="540"/>
            <w:gridCol w:w="1005"/>
            <w:gridCol w:w="1230"/>
            <w:gridCol w:w="1350"/>
          </w:tblGrid>
        </w:tblGridChange>
      </w:tblGrid>
      <w:tr>
        <w:trPr>
          <w:cantSplit w:val="0"/>
          <w:trHeight w:val="72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 (%)</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 (%)</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 (%)</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 pct (%)</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95th pct (%)</w:t>
            </w:r>
          </w:p>
        </w:tc>
      </w:tr>
      <w:tr>
        <w:trPr>
          <w:cantSplit w:val="0"/>
          <w:trHeight w:val="575.999999999994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Eswatini (2022)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54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Tanzania (2016)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Nigeria (2022)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bl>
    <w:p w:rsidR="00000000" w:rsidDel="00000000" w:rsidP="00000000" w:rsidRDefault="00000000" w:rsidRPr="00000000" w14:paraId="000000D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Eswatini showed slightly greater variability (SD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6.6%) and a lower minimum (25.0%) than </w:t>
      </w:r>
      <w:r w:rsidDel="00000000" w:rsidR="00000000" w:rsidRPr="00000000">
        <w:rPr>
          <w:rtl w:val="0"/>
        </w:rPr>
        <w:t xml:space="preserve">Tanzania and Nigeria </w:t>
      </w:r>
      <w:r w:rsidDel="00000000" w:rsidR="00000000" w:rsidRPr="00000000">
        <w:rPr>
          <w:rFonts w:ascii="Times New Roman" w:cs="Times New Roman" w:eastAsia="Times New Roman" w:hAnsi="Times New Roman"/>
          <w:rtl w:val="0"/>
        </w:rPr>
        <w:t xml:space="preserve">datasets, consistent with the smaller sample size and the presence of records where respondents answered a substantial proportion of binary questions with "don't know". Tanzania and Nigeria, despite differing instrument versions, produced nearly identical ICS distributions (mean=98.7%, median=100%), suggesting high respondent engagement with binary questions in both programmes.</w:t>
      </w:r>
    </w:p>
    <w:p w:rsidR="00000000" w:rsidDel="00000000" w:rsidP="00000000" w:rsidRDefault="00000000" w:rsidRPr="00000000" w14:paraId="000000D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spacing w:after="80" w:before="80" w:lineRule="auto"/>
        <w:rPr/>
      </w:pPr>
      <w:r w:rsidDel="00000000" w:rsidR="00000000" w:rsidRPr="00000000">
        <w:rPr>
          <w:rFonts w:ascii="Times New Roman" w:cs="Times New Roman" w:eastAsia="Times New Roman" w:hAnsi="Times New Roman"/>
          <w:rtl w:val="0"/>
        </w:rPr>
        <w:t xml:space="preserve">The low-end tail (ICS &lt; 86%) in Eswatini represents 5% of records and may indicate cases where the respondent had limited direct knowledge of the circumstances of death, or where language or comprehension barriers reduced informative response rates. These records warrant targeted interviewer or supervisor follow-up. </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tl w:val="0"/>
        </w:rPr>
      </w:r>
    </w:p>
    <w:p w:rsidR="00000000" w:rsidDel="00000000" w:rsidP="00000000" w:rsidRDefault="00000000" w:rsidRPr="00000000" w14:paraId="000000DA">
      <w:pPr>
        <w:spacing w:after="80" w:before="80" w:lineRule="auto"/>
        <w:rPr>
          <w:b w:val="1"/>
          <w:bCs w:val="1"/>
        </w:rPr>
      </w:pPr>
      <w:r w:rsidDel="00000000" w:rsidR="00000000" w:rsidRPr="00000000">
        <w:rPr>
          <w:b w:val="1"/>
          <w:bCs w:val="1"/>
          <w:rtl w:val="0"/>
        </w:rPr>
        <w:t xml:space="preserve">3.3 Respondent Reliability Score (RRS)</w:t>
      </w:r>
    </w:p>
    <w:p w:rsidR="00000000" w:rsidDel="00000000" w:rsidP="00000000" w:rsidRDefault="00000000" w:rsidRPr="00000000" w14:paraId="000000D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RRS was computed for Eswatini (n=349 of 380; 31 records excluded due to missing or unparseable death date) and Tanzania (n=3,546 of 3,601; 55 records excluded) (Table </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Table </w:t>
      </w: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Across both datasets, the mean RRS exceeded 80, placing the average respondent in the High reliability tier. </w:t>
      </w:r>
    </w:p>
    <w:p w:rsidR="00000000" w:rsidDel="00000000" w:rsidP="00000000" w:rsidRDefault="00000000" w:rsidRPr="00000000" w14:paraId="000000D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rtl w:val="0"/>
        </w:rPr>
        <w:t xml:space="preserve">. RRS continuous summary by dataset</w:t>
      </w:r>
    </w:p>
    <w:tbl>
      <w:tblPr>
        <w:tblStyle w:val="Table5"/>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350"/>
        <w:gridCol w:w="810"/>
        <w:gridCol w:w="1020"/>
        <w:gridCol w:w="645"/>
        <w:gridCol w:w="660"/>
        <w:gridCol w:w="690"/>
        <w:tblGridChange w:id="0">
          <w:tblGrid>
            <w:gridCol w:w="1875"/>
            <w:gridCol w:w="1350"/>
            <w:gridCol w:w="810"/>
            <w:gridCol w:w="1020"/>
            <w:gridCol w:w="645"/>
            <w:gridCol w:w="660"/>
            <w:gridCol w:w="690"/>
          </w:tblGrid>
        </w:tblGridChange>
      </w:tblGrid>
      <w:tr>
        <w:trPr>
          <w:cantSplit w:val="0"/>
          <w:trHeight w:val="45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(eligible)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Eswatini (2022)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349</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Tanzania (2016)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F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w:t>
      </w:r>
      <w:r w:rsidDel="00000000" w:rsidR="00000000" w:rsidRPr="00000000">
        <w:rPr>
          <w:b w:val="1"/>
          <w:bCs w:val="1"/>
          <w:rtl w:val="0"/>
        </w:rPr>
        <w:t xml:space="preserve">6</w:t>
      </w:r>
      <w:r w:rsidDel="00000000" w:rsidR="00000000" w:rsidRPr="00000000">
        <w:rPr>
          <w:rFonts w:ascii="Times New Roman" w:cs="Times New Roman" w:eastAsia="Times New Roman" w:hAnsi="Times New Roman"/>
          <w:b w:val="1"/>
          <w:bCs w:val="1"/>
          <w:rtl w:val="0"/>
        </w:rPr>
        <w:t xml:space="preserve">. RRS tier distribution by dataset</w:t>
      </w:r>
    </w:p>
    <w:tbl>
      <w:tblPr>
        <w:tblStyle w:val="Table6"/>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395"/>
        <w:gridCol w:w="2055"/>
        <w:gridCol w:w="1335"/>
        <w:tblGridChange w:id="0">
          <w:tblGrid>
            <w:gridCol w:w="1875"/>
            <w:gridCol w:w="1395"/>
            <w:gridCol w:w="2055"/>
            <w:gridCol w:w="1335"/>
          </w:tblGrid>
        </w:tblGridChange>
      </w:tblGrid>
      <w:tr>
        <w:trPr>
          <w:cantSplit w:val="0"/>
          <w:trHeight w:val="45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80" w:before="8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High (≥ 80)</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Moderate (50–79)</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 (&lt; 50)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Eswatini (2022)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63.9%</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Tanzania (2016)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80" w:before="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r>
    </w:tbl>
    <w:p w:rsidR="00000000" w:rsidDel="00000000" w:rsidP="00000000" w:rsidRDefault="00000000" w:rsidRPr="00000000" w14:paraId="0000010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Tanzania demonstrated a higher proportion of High-tier respondents (70.1% vs 63.9%) and a higher mean and median RRS. The Low-tier proportion was small in both datasets (&lt;1.1%), suggesting that respondents with very low reliability scores are uncommon in well-managed programmes. </w:t>
      </w:r>
    </w:p>
    <w:p w:rsidR="00000000" w:rsidDel="00000000" w:rsidP="00000000" w:rsidRDefault="00000000" w:rsidRPr="00000000" w14:paraId="0000010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Nigeria dataset was excluded from RRS computation because the relationship-to-deceased field (id10008) and interview date field (id10012) were absent from the exported data. This illustrates that RRS requires specific fields that may not be available in all dataset exports and highlights the importance of ensuring data export completeness. </w:t>
      </w:r>
    </w:p>
    <w:p w:rsidR="00000000" w:rsidDel="00000000" w:rsidP="00000000" w:rsidRDefault="00000000" w:rsidRPr="00000000" w14:paraId="0000010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liyh2x0qcrc" w:id="16"/>
      <w:bookmarkEnd w:id="16"/>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c9rimnbr6p9" w:id="17"/>
      <w:bookmarkEnd w:id="17"/>
      <w:r w:rsidDel="00000000" w:rsidR="00000000" w:rsidRPr="00000000">
        <w:rPr>
          <w:rFonts w:ascii="Times New Roman" w:cs="Times New Roman" w:eastAsia="Times New Roman" w:hAnsi="Times New Roman"/>
          <w:b w:val="1"/>
          <w:bCs w:val="1"/>
          <w:sz w:val="22"/>
          <w:szCs w:val="22"/>
          <w:rtl w:val="0"/>
        </w:rPr>
        <w:t xml:space="preserve">3.4 Internal Consistency Index (ICI)</w:t>
      </w:r>
    </w:p>
    <w:p w:rsidR="00000000" w:rsidDel="00000000" w:rsidP="00000000" w:rsidRDefault="00000000" w:rsidRPr="00000000" w14:paraId="0000010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ICI and per-rule violation counts are presented in Table </w:t>
      </w: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9">
      <w:pPr>
        <w:spacing w:after="80" w:before="80" w:lineRule="auto"/>
        <w:rPr>
          <w:b w:val="1"/>
          <w:bCs w:val="1"/>
        </w:rPr>
      </w:pPr>
      <w:commentRangeStart w:id="4"/>
      <w:r w:rsidDel="00000000" w:rsidR="00000000" w:rsidRPr="00000000">
        <w:rPr>
          <w:b w:val="1"/>
          <w:bCs w:val="1"/>
          <w:rtl w:val="0"/>
        </w:rPr>
        <w:t xml:space="preserve">Table 7</w:t>
      </w:r>
      <w:commentRangeEnd w:id="4"/>
      <w:r w:rsidDel="00000000" w:rsidR="00000000" w:rsidRPr="00000000">
        <w:commentReference w:id="4"/>
      </w:r>
      <w:r w:rsidDel="00000000" w:rsidR="00000000" w:rsidRPr="00000000">
        <w:rPr>
          <w:b w:val="1"/>
          <w:bCs w:val="1"/>
          <w:rtl w:val="0"/>
        </w:rPr>
        <w:t xml:space="preserve">. ICI results and rule-level violation counts</w:t>
      </w:r>
    </w:p>
    <w:p w:rsidR="00000000" w:rsidDel="00000000" w:rsidP="00000000" w:rsidRDefault="00000000" w:rsidRPr="00000000" w14:paraId="0000010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80"/>
        <w:gridCol w:w="1560"/>
        <w:gridCol w:w="1710"/>
        <w:gridCol w:w="1620"/>
        <w:tblGridChange w:id="0">
          <w:tblGrid>
            <w:gridCol w:w="1935"/>
            <w:gridCol w:w="2280"/>
            <w:gridCol w:w="1560"/>
            <w:gridCol w:w="1710"/>
            <w:gridCol w:w="1620"/>
          </w:tblGrid>
        </w:tblGridChange>
      </w:tblGrid>
      <w:tr>
        <w:trPr>
          <w:cantSplit w:val="0"/>
          <w:trHeight w:val="72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Eswatini (n=380)</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Tanzania (n=3,601)</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Nigeria (n=5,468)</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Pregnancy in male</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without cough</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Fever dur &gt; illness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(1.1%)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(0.8%)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(2.1%)</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Cough dur &gt; illness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(6.1%)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(0.8%)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(0.2%)</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Diarrhoea dur &gt; illness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(0.1%)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(0.2%)</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Breathlessness dur &gt; illness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(2.1%)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(0.4%)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(0.2%)</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Records passing all rules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97.5%</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 errors per record</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w:t>
            </w:r>
          </w:p>
        </w:tc>
      </w:tr>
    </w:tbl>
    <w:p w:rsidR="00000000" w:rsidDel="00000000" w:rsidP="00000000" w:rsidRDefault="00000000" w:rsidRPr="00000000" w14:paraId="0000013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Eswatini achieved an ICI of 91.8% (Excellent tier), Tanzania 98.5% (Excellent), and Nigeria 97.5% (Excellent). No dataset fell below the Good threshold (70%). The most striking finding is the pattern of C4 violations in Eswatini: 23 records (6.1%) had a cough duration exceeding the reported total illness duration, compared to 28 records in Tanzania's much larger dataset (0.8%). This discrepancy may reflect a data entry convention in the Eswatini dataset, a structural difference in how interviewers were trained to elicit duration responses, or ambiguity in how respondents distinguished disease-specific symptom duration from total illness episode duration. </w:t>
        <w:br w:type="textWrapping"/>
      </w:r>
    </w:p>
    <w:p w:rsidR="00000000" w:rsidDel="00000000" w:rsidP="00000000" w:rsidRDefault="00000000" w:rsidRPr="00000000" w14:paraId="0000013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C1 rule (pregnancy in a male decedent) was virtually absent across all datasets (only 1 case in Nigeria), consistent with this being a clear biological impossibility that interviewers and data entry systems readily avoid. C2 (blood reported without cough) was also absent across all datasets, suggesting that the rule as currently defined may reflect a low-frequency physiological pairing rather than a common data entry error, or that interviewers naturally avoid this combination. </w:t>
        <w:br w:type="textWrapping"/>
      </w:r>
    </w:p>
    <w:p w:rsidR="00000000" w:rsidDel="00000000" w:rsidP="00000000" w:rsidRDefault="00000000" w:rsidRPr="00000000" w14:paraId="0000013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C3 violation (fever duration &gt; illness duration) was most prevalent in Nigeria (n=115, 2.1%), pointing to a potential systematic data entry pattern worth investigating at the interviewer level. When stratified by the interviewer, the ICI would likely reveal whether these violations are concentrated in specific enumerators.</w:t>
      </w:r>
    </w:p>
    <w:p w:rsidR="00000000" w:rsidDel="00000000" w:rsidP="00000000" w:rsidRDefault="00000000" w:rsidRPr="00000000" w14:paraId="0000013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48y2bktoi9f" w:id="18"/>
      <w:bookmarkEnd w:id="18"/>
      <w:r w:rsidDel="00000000" w:rsidR="00000000" w:rsidRPr="00000000">
        <w:rPr>
          <w:rFonts w:ascii="Times New Roman" w:cs="Times New Roman" w:eastAsia="Times New Roman" w:hAnsi="Times New Roman"/>
          <w:b w:val="1"/>
          <w:bCs w:val="1"/>
          <w:sz w:val="22"/>
          <w:szCs w:val="22"/>
          <w:rtl w:val="0"/>
        </w:rPr>
        <w:t xml:space="preserve">3.5 Average Interview Duration (AID)</w:t>
      </w:r>
    </w:p>
    <w:p w:rsidR="00000000" w:rsidDel="00000000" w:rsidP="00000000" w:rsidRDefault="00000000" w:rsidRPr="00000000" w14:paraId="0000013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 results are presented in Table </w:t>
      </w:r>
      <w:r w:rsidDel="00000000" w:rsidR="00000000" w:rsidRPr="00000000">
        <w:rPr>
          <w:rtl w:val="0"/>
        </w:rPr>
        <w:t xml:space="preserve">8</w:t>
      </w:r>
      <w:r w:rsidDel="00000000" w:rsidR="00000000" w:rsidRPr="00000000">
        <w:rPr>
          <w:rFonts w:ascii="Times New Roman" w:cs="Times New Roman" w:eastAsia="Times New Roman" w:hAnsi="Times New Roman"/>
          <w:rtl w:val="0"/>
        </w:rPr>
        <w:t xml:space="preserve">. The AID for Eswatini was computed from full ISO 8601 datetime fields; for Tanzania, from time-of-day fields (see </w:t>
      </w:r>
      <w:commentRangeStart w:id="5"/>
      <w:r w:rsidDel="00000000" w:rsidR="00000000" w:rsidRPr="00000000">
        <w:rPr>
          <w:rFonts w:ascii="Times New Roman" w:cs="Times New Roman" w:eastAsia="Times New Roman" w:hAnsi="Times New Roman"/>
          <w:rtl w:val="0"/>
        </w:rPr>
        <w:t xml:space="preserve">Methods section 2.3.4</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for the associated limitation).</w:t>
      </w:r>
    </w:p>
    <w:p w:rsidR="00000000" w:rsidDel="00000000" w:rsidP="00000000" w:rsidRDefault="00000000" w:rsidRPr="00000000" w14:paraId="0000013F">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40">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w:t>
      </w:r>
      <w:r w:rsidDel="00000000" w:rsidR="00000000" w:rsidRPr="00000000">
        <w:rPr>
          <w:b w:val="1"/>
          <w:bCs w:val="1"/>
          <w:rtl w:val="0"/>
        </w:rPr>
        <w:t xml:space="preserve">8</w:t>
      </w:r>
      <w:r w:rsidDel="00000000" w:rsidR="00000000" w:rsidRPr="00000000">
        <w:rPr>
          <w:rFonts w:ascii="Times New Roman" w:cs="Times New Roman" w:eastAsia="Times New Roman" w:hAnsi="Times New Roman"/>
          <w:b w:val="1"/>
          <w:bCs w:val="1"/>
          <w:rtl w:val="0"/>
        </w:rPr>
        <w:t xml:space="preserve">. AID results by dataset</w:t>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170"/>
        <w:gridCol w:w="1410"/>
        <w:gridCol w:w="1440"/>
        <w:gridCol w:w="900"/>
        <w:gridCol w:w="1260"/>
        <w:gridCol w:w="795"/>
        <w:tblGridChange w:id="0">
          <w:tblGrid>
            <w:gridCol w:w="2160"/>
            <w:gridCol w:w="1170"/>
            <w:gridCol w:w="1410"/>
            <w:gridCol w:w="1440"/>
            <w:gridCol w:w="900"/>
            <w:gridCol w:w="1260"/>
            <w:gridCol w:w="795"/>
          </w:tblGrid>
        </w:tblGridChange>
      </w:tblGrid>
      <w:tr>
        <w:trPr>
          <w:cantSplit w:val="0"/>
          <w:trHeight w:val="99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(valid)</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 (min)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 (min)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 pct (min)</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95th pct (min)</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Eswatini (2022)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56.9</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235.1</w:t>
            </w:r>
          </w:p>
        </w:tc>
      </w:tr>
      <w:tr>
        <w:trPr>
          <w:cantSplit w:val="0"/>
          <w:trHeight w:val="495.92529296875"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Tanzania (2016)*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62.0</w:t>
            </w:r>
          </w:p>
        </w:tc>
      </w:tr>
    </w:tbl>
    <w:p w:rsidR="00000000" w:rsidDel="00000000" w:rsidP="00000000" w:rsidRDefault="00000000" w:rsidRPr="00000000" w14:paraId="0000015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Time-of-day fields only; cross-midnight interviews are excluded by the 480-minute cap and cannot be detected. </w:t>
      </w:r>
    </w:p>
    <w:p w:rsidR="00000000" w:rsidDel="00000000" w:rsidP="00000000" w:rsidRDefault="00000000" w:rsidRPr="00000000" w14:paraId="0000015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median interview duration in Eswatini (27.3 minutes) is consistent with expected VA interview lengths for a standard instrument administered by trained interviewers. The high mean (56.9 minutes) and wide standard deviation (79.1 minutes) reflect a right-skewed distribution with a substantial proportion of records reporting very long durations (95th percentile = 235.1 minutes). In datasets storing full datetimes, multi-day intervals (e.g., where the interview was paused and resumed the following day) can produce apparent durations of many hours; these are captured before the 480-minute exclusion and inflate the mean. </w:t>
      </w:r>
    </w:p>
    <w:p w:rsidR="00000000" w:rsidDel="00000000" w:rsidP="00000000" w:rsidRDefault="00000000" w:rsidRPr="00000000" w14:paraId="0000015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Tanzania's AID distribution is more concentrated (median=32.0 min, SD=27.5 min), which is partly an artefact of the time-only field limitation: cross-midnight interviews are excluded, and very long within-day interviews are capped. The 95th percentile of 62.0 minutes is a plausible upper bound for a within-day VA interview. </w:t>
      </w:r>
    </w:p>
    <w:p w:rsidR="00000000" w:rsidDel="00000000" w:rsidP="00000000" w:rsidRDefault="00000000" w:rsidRPr="00000000" w14:paraId="0000015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Nigeria's dataset did not include the interview start and end time fields (id10011, id10481), preventing AID computation. </w:t>
      </w:r>
      <w:r w:rsidDel="00000000" w:rsidR="00000000" w:rsidRPr="00000000">
        <w:rPr>
          <w:rFonts w:ascii="Times New Roman" w:cs="Times New Roman" w:eastAsia="Times New Roman" w:hAnsi="Times New Roman"/>
          <w:rtl w:val="0"/>
        </w:rPr>
        <w:t xml:space="preserve">Programmes</w:t>
      </w:r>
      <w:r w:rsidDel="00000000" w:rsidR="00000000" w:rsidRPr="00000000">
        <w:rPr>
          <w:rFonts w:ascii="Times New Roman" w:cs="Times New Roman" w:eastAsia="Times New Roman" w:hAnsi="Times New Roman"/>
          <w:rtl w:val="0"/>
        </w:rPr>
        <w:t xml:space="preserve"> using the 2022 WHO-VA instrument that wish to monitor AID should verify that these fields are included in data exports.  Collectively, an AID below approximately 10 - 12 minutes (5th percentile across both datasets) should trigger supervisor review, as it may indicate that sections of the questionnaire were skipped. Similarly, records with AID above the 95th percentile may represent multi-session interviews or data entry artefacts.</w:t>
      </w:r>
    </w:p>
    <w:p w:rsidR="00000000" w:rsidDel="00000000" w:rsidP="00000000" w:rsidRDefault="00000000" w:rsidRPr="00000000" w14:paraId="0000015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E">
      <w:pPr>
        <w:pStyle w:val="Heading1"/>
        <w:keepNext w:val="0"/>
        <w:keepLines w:val="0"/>
        <w:spacing w:before="480" w:lineRule="auto"/>
        <w:rPr/>
      </w:pPr>
      <w:bookmarkStart w:colFirst="0" w:colLast="0" w:name="_fn5v44n3uk68" w:id="19"/>
      <w:bookmarkEnd w:id="19"/>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c6dn0umpi05s" w:id="20"/>
      <w:bookmarkEnd w:id="20"/>
      <w:r w:rsidDel="00000000" w:rsidR="00000000" w:rsidRPr="00000000">
        <w:rPr>
          <w:rFonts w:ascii="Times New Roman" w:cs="Times New Roman" w:eastAsia="Times New Roman" w:hAnsi="Times New Roman"/>
          <w:b w:val="1"/>
          <w:bCs w:val="1"/>
          <w:sz w:val="22"/>
          <w:szCs w:val="22"/>
          <w:rtl w:val="0"/>
        </w:rPr>
        <w:t xml:space="preserve">4. Discussion</w:t>
      </w:r>
    </w:p>
    <w:p w:rsidR="00000000" w:rsidDel="00000000" w:rsidP="00000000" w:rsidRDefault="00000000" w:rsidRPr="00000000" w14:paraId="0000016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q9j8m4svl4x" w:id="21"/>
      <w:bookmarkEnd w:id="21"/>
      <w:r w:rsidDel="00000000" w:rsidR="00000000" w:rsidRPr="00000000">
        <w:rPr>
          <w:rFonts w:ascii="Times New Roman" w:cs="Times New Roman" w:eastAsia="Times New Roman" w:hAnsi="Times New Roman"/>
          <w:b w:val="1"/>
          <w:bCs w:val="1"/>
          <w:color w:val="000000"/>
          <w:sz w:val="22"/>
          <w:szCs w:val="22"/>
          <w:rtl w:val="0"/>
        </w:rPr>
        <w:t xml:space="preserve">4.1 Principal Findings</w:t>
      </w:r>
    </w:p>
    <w:p w:rsidR="00000000" w:rsidDel="00000000" w:rsidP="00000000" w:rsidRDefault="00000000" w:rsidRPr="00000000" w14:paraId="0000016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proposed and applied four complementary VA data quality indicators that can be computed from a single interview record, without requiring CoD assignment or aggregated data. The indicators were applicable to data collected with both the 2016 and 2022 WHO-VA instruments and performed consistently across datasets from three countries. Across all datasets where indicators were computable, the majority of records achieved satisfactory performance (ICS &gt; 94%, RRS High tier, ICI pass), confirming that these datasets represent well-conducted field programmes. At the same time, each indicator identified a non-trivial subset of records or patterns worthy of follow-up, demonstrating that the indicators add value even in high-quality programmes.</w:t>
      </w:r>
    </w:p>
    <w:p w:rsidR="00000000" w:rsidDel="00000000" w:rsidP="00000000" w:rsidRDefault="00000000" w:rsidRPr="00000000" w14:paraId="0000016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xymqsrmw69f" w:id="22"/>
      <w:bookmarkEnd w:id="22"/>
      <w:r w:rsidDel="00000000" w:rsidR="00000000" w:rsidRPr="00000000">
        <w:rPr>
          <w:rFonts w:ascii="Times New Roman" w:cs="Times New Roman" w:eastAsia="Times New Roman" w:hAnsi="Times New Roman"/>
          <w:b w:val="1"/>
          <w:bCs w:val="1"/>
          <w:sz w:val="22"/>
          <w:szCs w:val="22"/>
          <w:rtl w:val="0"/>
        </w:rPr>
        <w:t xml:space="preserve">4.2 Advantages Over Post-Hoc Quality Assessment</w:t>
      </w:r>
    </w:p>
    <w:p w:rsidR="00000000" w:rsidDel="00000000" w:rsidP="00000000" w:rsidRDefault="00000000" w:rsidRPr="00000000" w14:paraId="0000016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argument for this indicator framework is temporal where quality problems identified before CoD assignment can still be corrected. A supervisor alerted in real time that a specific interviewer is generating a disproportionate number of C4 violations (cough duration &gt; illness duration) can provide targeted retraining. A data manager notified that 15% of today's uploads have ICS below 80% can investigate the cause (i.e., interviewer fatigue, a difficult community, or a software display problem) before the situation worsens.  In contrast, quality issues identified during CoD coding may require the original respondent to be re-contacted, which is often logistically impossible months after the interview. Some errors, such as contradictory duration fields, may be structurally unresolvable and require the record to be flagged or excluded.  Moreover, unlike CoD assignment algorithms which require a population distribution to produce meaningful estimates (e.g., InSilicoVA requires at least 100 cases for stable output </w:t>
      </w:r>
      <w:hyperlink r:id="rId14">
        <w:r w:rsidDel="00000000" w:rsidR="00000000" w:rsidRPr="00000000">
          <w:rPr>
            <w:rtl w:val="0"/>
          </w:rPr>
          <w:t xml:space="preserve">[3]</w:t>
        </w:r>
      </w:hyperlink>
      <w:r w:rsidDel="00000000" w:rsidR="00000000" w:rsidRPr="00000000">
        <w:rPr>
          <w:rFonts w:ascii="Times New Roman" w:cs="Times New Roman" w:eastAsia="Times New Roman" w:hAnsi="Times New Roman"/>
          <w:rtl w:val="0"/>
        </w:rPr>
        <w:t xml:space="preserve">), the indicators proposed here are fully interpretable at the level of a single record. A programme with 10 records can assess ICS, RRS, and ICI immediately; it need not wait for a sufficient sample to run a CoD algorithm.</w:t>
      </w:r>
    </w:p>
    <w:p w:rsidR="00000000" w:rsidDel="00000000" w:rsidP="00000000" w:rsidRDefault="00000000" w:rsidRPr="00000000" w14:paraId="0000016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440judommtx" w:id="23"/>
      <w:bookmarkEnd w:id="23"/>
      <w:r w:rsidDel="00000000" w:rsidR="00000000" w:rsidRPr="00000000">
        <w:rPr>
          <w:rFonts w:ascii="Times New Roman" w:cs="Times New Roman" w:eastAsia="Times New Roman" w:hAnsi="Times New Roman"/>
          <w:b w:val="1"/>
          <w:bCs w:val="1"/>
          <w:sz w:val="22"/>
          <w:szCs w:val="22"/>
          <w:rtl w:val="0"/>
        </w:rPr>
        <w:t xml:space="preserve">4.3 Complementarity of the Four Indicators</w:t>
      </w:r>
    </w:p>
    <w:p w:rsidR="00000000" w:rsidDel="00000000" w:rsidP="00000000" w:rsidRDefault="00000000" w:rsidRPr="00000000" w14:paraId="0000016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indicators measure distinct aspects of quality that are not reducible to one another. A record can score perfectly on ICS (all binary questions answered definitively) yet still contain internal contradictions (low ICI) because the respondent confidently gave inconsistent answers. An interview can be internally consistent yet reflect an unreliable respondent (low RRS). For example, a distant acquaintance was interviewed years after the death. An interview can be conducted by a highly reliable respondent and contain no logical errors, yet be completed in three minutes, suggesting that key sections were skipped (low AID). The simultaneous availability of all four indicators gives supervisors a multidimensional view of record quality.</w:t>
      </w:r>
    </w:p>
    <w:p w:rsidR="00000000" w:rsidDel="00000000" w:rsidP="00000000" w:rsidRDefault="00000000" w:rsidRPr="00000000" w14:paraId="0000016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47dprehoox" w:id="24"/>
      <w:bookmarkEnd w:id="24"/>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igntqg3fp9q" w:id="25"/>
      <w:bookmarkEnd w:id="25"/>
      <w:r w:rsidDel="00000000" w:rsidR="00000000" w:rsidRPr="00000000">
        <w:rPr>
          <w:rFonts w:ascii="Times New Roman" w:cs="Times New Roman" w:eastAsia="Times New Roman" w:hAnsi="Times New Roman"/>
          <w:b w:val="1"/>
          <w:bCs w:val="1"/>
          <w:sz w:val="22"/>
          <w:szCs w:val="22"/>
          <w:rtl w:val="0"/>
        </w:rPr>
        <w:t xml:space="preserve">4.4 Dataset-Specific Observations</w:t>
      </w:r>
    </w:p>
    <w:p w:rsidR="00000000" w:rsidDel="00000000" w:rsidP="00000000" w:rsidRDefault="00000000" w:rsidRPr="00000000" w14:paraId="0000016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absent fields in Nigeria's dataset (id10008, id10011, id10012, id10481) underscore that the indicator framework's utility depends on data export completeness. Field absence is itself a data quality signal: if a programme is not capturing interview timestamps, the AID indicator cannot serve its monitoring function. Programmes should ensure that all instrument fields, including administrative and timing fields, are exported alongside the interview responses.  The anomalously high C4 violation rate in Eswatini compared to Tanzania and Nigeria (6.1% vs 0.8% and 0.2%, respectively) illustrates that ICI performance is context-dependent. Possible explanations include: (1) interviewer training that did not sufficiently emphasise the distinction between symptom onset and total illness duration; (2) cultural or linguistic differences in how respondents conceptualise "illness duration" versus "symptom duration"; or (3) data entry conventions specific to the Eswatini programme. Investigating this pattern at the interviewer level (by stratifying ICI by interviewer ID) would be the appropriate next step.</w:t>
      </w:r>
    </w:p>
    <w:p w:rsidR="00000000" w:rsidDel="00000000" w:rsidP="00000000" w:rsidRDefault="00000000" w:rsidRPr="00000000" w14:paraId="0000016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Instrument Compatibility</w:t>
      </w:r>
    </w:p>
    <w:p w:rsidR="00000000" w:rsidDel="00000000" w:rsidP="00000000" w:rsidRDefault="00000000" w:rsidRPr="00000000" w14:paraId="0000016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strength of this framework is compatibility with both the 2016 and 2022 WHO-VA instruments. The field names used for each indicator are defined consistently across versions. The primary instrument-version caveat is the AID computation: the 2016 instrument stores interview times as time-only values, while the 2022 instrument stores full datetimes. </w:t>
      </w:r>
      <w:r w:rsidDel="00000000" w:rsidR="00000000" w:rsidRPr="00000000">
        <w:rPr>
          <w:rFonts w:ascii="Times New Roman" w:cs="Times New Roman" w:eastAsia="Times New Roman" w:hAnsi="Times New Roman"/>
          <w:rtl w:val="0"/>
        </w:rPr>
        <w:t xml:space="preserve">Programmes</w:t>
      </w:r>
      <w:r w:rsidDel="00000000" w:rsidR="00000000" w:rsidRPr="00000000">
        <w:rPr>
          <w:rFonts w:ascii="Times New Roman" w:cs="Times New Roman" w:eastAsia="Times New Roman" w:hAnsi="Times New Roman"/>
          <w:rtl w:val="0"/>
        </w:rPr>
        <w:t xml:space="preserve"> using the 2016 instrument should interpret </w:t>
      </w:r>
      <w:commentRangeStart w:id="6"/>
      <w:commentRangeStart w:id="7"/>
      <w:r w:rsidDel="00000000" w:rsidR="00000000" w:rsidRPr="00000000">
        <w:rPr>
          <w:rFonts w:ascii="Times New Roman" w:cs="Times New Roman" w:eastAsia="Times New Roman" w:hAnsi="Times New Roman"/>
          <w:rtl w:val="0"/>
        </w:rPr>
        <w:t xml:space="preserve">AID results with the understanding that cross-midnight interviews are excluded</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and median rather than mean duration should be reported.  Researchers considering application of these indicators to earlier instrument versions (pre-2016) should verify field name correspondence, as the question numbering convention evolved substantially before the 2016 release.</w:t>
      </w:r>
    </w:p>
    <w:p w:rsidR="00000000" w:rsidDel="00000000" w:rsidP="00000000" w:rsidRDefault="00000000" w:rsidRPr="00000000" w14:paraId="0000016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enex9ljek11h" w:id="26"/>
      <w:bookmarkEnd w:id="26"/>
      <w:r w:rsidDel="00000000" w:rsidR="00000000" w:rsidRPr="00000000">
        <w:rPr>
          <w:rFonts w:ascii="Times New Roman" w:cs="Times New Roman" w:eastAsia="Times New Roman" w:hAnsi="Times New Roman"/>
          <w:b w:val="1"/>
          <w:bCs w:val="1"/>
          <w:sz w:val="22"/>
          <w:szCs w:val="22"/>
          <w:rtl w:val="0"/>
        </w:rPr>
        <w:t xml:space="preserve">4.6 Limitations</w:t>
      </w:r>
    </w:p>
    <w:p w:rsidR="00000000" w:rsidDel="00000000" w:rsidP="00000000" w:rsidRDefault="00000000" w:rsidRPr="00000000" w14:paraId="0000016F">
      <w:pPr>
        <w:spacing w:after="80" w:before="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Several limitations should be acknowledged. First, the thresholds defining ICS, RRS, and ICI tiers (e.g., ICI Excellent ≥ 90%, RRS High ≥ 80) are expert derived and have not yet been empirically validated against CoD concordance data. Future work should assess whether records in different ICS or RRS tiers show systematically different CoD assignment outcomes in comparison with gold-standard CoD data. Second, the ICI rules (</w:t>
      </w:r>
      <w:commentRangeStart w:id="8"/>
      <w:r w:rsidDel="00000000" w:rsidR="00000000" w:rsidRPr="00000000">
        <w:rPr>
          <w:rFonts w:ascii="Times New Roman" w:cs="Times New Roman" w:eastAsia="Times New Roman" w:hAnsi="Times New Roman"/>
          <w:rtl w:val="0"/>
        </w:rPr>
        <w:t xml:space="preserve">C1–C6</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represent a subset of possible logical inconsistencies in the WHO-VA instrument; additional rules could be added to cover paediatric and neonatal sections, pregnancy-related death sections, and age-sex combinations for other conditions. Third, RRS is limited to datasets that capture respondent characteristics; programmes that do not record respondent relationship or death date will find this indicator inapplicable. Fourth, the datasets used for validation are not random samples and may not represent the full range of data quality conditions in their respective countries. </w:t>
      </w:r>
    </w:p>
    <w:p w:rsidR="00000000" w:rsidDel="00000000" w:rsidP="00000000" w:rsidRDefault="00000000" w:rsidRPr="00000000" w14:paraId="0000017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u1hbzmbyvwy" w:id="27"/>
      <w:bookmarkEnd w:id="27"/>
      <w:r w:rsidDel="00000000" w:rsidR="00000000" w:rsidRPr="00000000">
        <w:rPr>
          <w:rFonts w:ascii="Times New Roman" w:cs="Times New Roman" w:eastAsia="Times New Roman" w:hAnsi="Times New Roman"/>
          <w:b w:val="1"/>
          <w:bCs w:val="1"/>
          <w:sz w:val="22"/>
          <w:szCs w:val="22"/>
          <w:rtl w:val="0"/>
        </w:rPr>
        <w:t xml:space="preserve">4.7 Future Directions</w:t>
      </w:r>
    </w:p>
    <w:p w:rsidR="00000000" w:rsidDel="00000000" w:rsidP="00000000" w:rsidRDefault="00000000" w:rsidRPr="00000000" w14:paraId="0000017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indicator framework is intended to be extensible. Future work should: (1) validate tier thresholds against linked CoD data; (2) expand the ICI rule set to cover additional sections of the WHO-VA instrument (neonatal, under-5, and maternal modules); (3) investigate machine-learning extensions that learn anomalous response patterns from historical data and flag records that deviate from expected distributions; (4) develop composite data quality scores that aggregate across the four indicators; and (5) integrate the indicators into field data collection platforms to provide immediate feedback to enumerators.</w:t>
      </w:r>
    </w:p>
    <w:p w:rsidR="00000000" w:rsidDel="00000000" w:rsidP="00000000" w:rsidRDefault="00000000" w:rsidRPr="00000000" w14:paraId="00000172">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er8qh2dokol3" w:id="28"/>
      <w:bookmarkEnd w:id="28"/>
      <w:r w:rsidDel="00000000" w:rsidR="00000000" w:rsidRPr="00000000">
        <w:rPr>
          <w:rFonts w:ascii="Times New Roman" w:cs="Times New Roman" w:eastAsia="Times New Roman" w:hAnsi="Times New Roman"/>
          <w:b w:val="1"/>
          <w:bCs w:val="1"/>
          <w:sz w:val="22"/>
          <w:szCs w:val="22"/>
          <w:rtl w:val="0"/>
        </w:rPr>
        <w:t xml:space="preserve">5. Conclusion</w:t>
      </w:r>
    </w:p>
    <w:p w:rsidR="00000000" w:rsidDel="00000000" w:rsidP="00000000" w:rsidRDefault="00000000" w:rsidRPr="00000000" w14:paraId="0000017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four complementary indicators ICS, RRS, ICI, and AID that collectively address completeness, respondent reliability, logical consistency, and interview process quality in verbal autopsy data. Unlike existing approaches that assess quality as a byproduct of CoD assignment, these indicators are designed for real-time application to individual records, enabling supervisors to identify and act on quality problems during data collection rather than after it. The indicators are compatible with both the 2016 and 2022 WHO-VA instruments, require no additional data beyond the standard instrument, and can be computed automatically by data management systems. Cross-national application to datasets from Eswatini, Tanzania, and Nigeria demonstrated consistent performance and identified context-specific patterns worthy of programmatic attention. We encourage their adoption as a standard component of VA data management workflows. </w:t>
      </w:r>
    </w:p>
    <w:p w:rsidR="00000000" w:rsidDel="00000000" w:rsidP="00000000" w:rsidRDefault="00000000" w:rsidRPr="00000000" w14:paraId="00000174">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itzcs8mmw0h2" w:id="29"/>
      <w:bookmarkEnd w:id="29"/>
      <w:r w:rsidDel="00000000" w:rsidR="00000000" w:rsidRPr="00000000">
        <w:rPr>
          <w:rFonts w:ascii="Times New Roman" w:cs="Times New Roman" w:eastAsia="Times New Roman" w:hAnsi="Times New Roman"/>
          <w:b w:val="1"/>
          <w:bCs w:val="1"/>
          <w:sz w:val="22"/>
          <w:szCs w:val="22"/>
          <w:rtl w:val="0"/>
        </w:rPr>
        <w:t xml:space="preserve">Declarations</w:t>
      </w:r>
    </w:p>
    <w:p w:rsidR="00000000" w:rsidDel="00000000" w:rsidP="00000000" w:rsidRDefault="00000000" w:rsidRPr="00000000" w14:paraId="0000017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7b5k1e4d3n0a" w:id="30"/>
      <w:bookmarkEnd w:id="30"/>
      <w:r w:rsidDel="00000000" w:rsidR="00000000" w:rsidRPr="00000000">
        <w:rPr>
          <w:rFonts w:ascii="Times New Roman" w:cs="Times New Roman" w:eastAsia="Times New Roman" w:hAnsi="Times New Roman"/>
          <w:b w:val="1"/>
          <w:bCs w:val="1"/>
          <w:sz w:val="22"/>
          <w:szCs w:val="22"/>
          <w:rtl w:val="0"/>
        </w:rPr>
        <w:t xml:space="preserve">Conflict of interest</w:t>
      </w:r>
    </w:p>
    <w:p w:rsidR="00000000" w:rsidDel="00000000" w:rsidP="00000000" w:rsidRDefault="00000000" w:rsidRPr="00000000" w14:paraId="0000017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 declares no conflict of interest.</w:t>
      </w:r>
    </w:p>
    <w:p w:rsidR="00000000" w:rsidDel="00000000" w:rsidP="00000000" w:rsidRDefault="00000000" w:rsidRPr="00000000" w14:paraId="0000017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jf29z1ljn9wk" w:id="31"/>
      <w:bookmarkEnd w:id="31"/>
      <w:r w:rsidDel="00000000" w:rsidR="00000000" w:rsidRPr="00000000">
        <w:rPr>
          <w:rFonts w:ascii="Times New Roman" w:cs="Times New Roman" w:eastAsia="Times New Roman" w:hAnsi="Times New Roman"/>
          <w:b w:val="1"/>
          <w:bCs w:val="1"/>
          <w:sz w:val="22"/>
          <w:szCs w:val="22"/>
          <w:rtl w:val="0"/>
        </w:rPr>
        <w:t xml:space="preserve">Funding</w:t>
      </w:r>
    </w:p>
    <w:p w:rsidR="00000000" w:rsidDel="00000000" w:rsidP="00000000" w:rsidRDefault="00000000" w:rsidRPr="00000000" w14:paraId="0000017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specific funding was received for this methodological study.</w:t>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0u27r1f5qdm" w:id="32"/>
      <w:bookmarkEnd w:id="32"/>
      <w:r w:rsidDel="00000000" w:rsidR="00000000" w:rsidRPr="00000000">
        <w:rPr>
          <w:rFonts w:ascii="Times New Roman" w:cs="Times New Roman" w:eastAsia="Times New Roman" w:hAnsi="Times New Roman"/>
          <w:b w:val="1"/>
          <w:bCs w:val="1"/>
          <w:sz w:val="22"/>
          <w:szCs w:val="22"/>
          <w:rtl w:val="0"/>
        </w:rPr>
        <w:t xml:space="preserve">Data availability</w:t>
      </w:r>
    </w:p>
    <w:p w:rsidR="00000000" w:rsidDel="00000000" w:rsidP="00000000" w:rsidRDefault="00000000" w:rsidRPr="00000000" w14:paraId="0000017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indicator computation algorithms are implemented in the vman3 data management platform (https://vman3.vatools.net). The three validation datasets used in this study are described by their respective data custodians; access conditions are determined by those custodians.</w:t>
      </w:r>
    </w:p>
    <w:p w:rsidR="00000000" w:rsidDel="00000000" w:rsidP="00000000" w:rsidRDefault="00000000" w:rsidRPr="00000000" w14:paraId="0000017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51lqp850unm" w:id="33"/>
      <w:bookmarkEnd w:id="33"/>
      <w:r w:rsidDel="00000000" w:rsidR="00000000" w:rsidRPr="00000000">
        <w:rPr>
          <w:rFonts w:ascii="Times New Roman" w:cs="Times New Roman" w:eastAsia="Times New Roman" w:hAnsi="Times New Roman"/>
          <w:b w:val="1"/>
          <w:bCs w:val="1"/>
          <w:sz w:val="22"/>
          <w:szCs w:val="22"/>
          <w:rtl w:val="0"/>
        </w:rPr>
        <w:t xml:space="preserve">Author contributions</w:t>
      </w:r>
    </w:p>
    <w:p w:rsidR="00000000" w:rsidDel="00000000" w:rsidP="00000000" w:rsidRDefault="00000000" w:rsidRPr="00000000" w14:paraId="0000017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conceptualised the indicator framework, implemented the computational algorithms, performed the validation analysis, and wrote the manuscript.</w:t>
      </w:r>
    </w:p>
    <w:p w:rsidR="00000000" w:rsidDel="00000000" w:rsidP="00000000" w:rsidRDefault="00000000" w:rsidRPr="00000000" w14:paraId="0000017D">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pPr>
      <w:bookmarkStart w:colFirst="0" w:colLast="0" w:name="_3f07bvmxyhc" w:id="34"/>
      <w:bookmarkEnd w:id="34"/>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2kw27tv8um45" w:id="35"/>
      <w:bookmarkEnd w:id="35"/>
      <w:r w:rsidDel="00000000" w:rsidR="00000000" w:rsidRPr="00000000">
        <w:rPr>
          <w:rFonts w:ascii="Times New Roman" w:cs="Times New Roman" w:eastAsia="Times New Roman" w:hAnsi="Times New Roman"/>
          <w:b w:val="1"/>
          <w:bCs w:val="1"/>
          <w:sz w:val="22"/>
          <w:szCs w:val="22"/>
          <w:rtl w:val="0"/>
        </w:rPr>
        <w:t xml:space="preserve">References</w:t>
      </w:r>
    </w:p>
    <w:p w:rsidR="00000000" w:rsidDel="00000000" w:rsidP="00000000" w:rsidRDefault="00000000" w:rsidRPr="00000000" w14:paraId="00000180">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Mikkelsen L, Phillips DE, AbouZahr C, et al. A global assessment of civil registration and vital statistics systems: monitoring data quality and progress. </w:t>
      </w:r>
      <w:r w:rsidDel="00000000" w:rsidR="00000000" w:rsidRPr="00000000">
        <w:rPr>
          <w:rFonts w:ascii="Times New Roman" w:cs="Times New Roman" w:eastAsia="Times New Roman" w:hAnsi="Times New Roman"/>
          <w:i w:val="1"/>
          <w:iCs w:val="1"/>
          <w:rtl w:val="0"/>
        </w:rPr>
        <w:t xml:space="preserve">Lancet</w:t>
      </w:r>
      <w:r w:rsidDel="00000000" w:rsidR="00000000" w:rsidRPr="00000000">
        <w:rPr>
          <w:rFonts w:ascii="Times New Roman" w:cs="Times New Roman" w:eastAsia="Times New Roman" w:hAnsi="Times New Roman"/>
          <w:rtl w:val="0"/>
        </w:rPr>
        <w:t xml:space="preserve">. 2015;386(10001):1395–1406.</w:t>
      </w:r>
    </w:p>
    <w:p w:rsidR="00000000" w:rsidDel="00000000" w:rsidP="00000000" w:rsidRDefault="00000000" w:rsidRPr="00000000" w14:paraId="00000181">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Fottrell E, Byass P. Verbal autopsy: methods in transition. </w:t>
      </w:r>
      <w:r w:rsidDel="00000000" w:rsidR="00000000" w:rsidRPr="00000000">
        <w:rPr>
          <w:rFonts w:ascii="Times New Roman" w:cs="Times New Roman" w:eastAsia="Times New Roman" w:hAnsi="Times New Roman"/>
          <w:i w:val="1"/>
          <w:iCs w:val="1"/>
          <w:rtl w:val="0"/>
        </w:rPr>
        <w:t xml:space="preserve">Epidemiologic Reviews</w:t>
      </w:r>
      <w:r w:rsidDel="00000000" w:rsidR="00000000" w:rsidRPr="00000000">
        <w:rPr>
          <w:rFonts w:ascii="Times New Roman" w:cs="Times New Roman" w:eastAsia="Times New Roman" w:hAnsi="Times New Roman"/>
          <w:rtl w:val="0"/>
        </w:rPr>
        <w:t xml:space="preserve">. 2010;32(1):38–55.</w:t>
      </w:r>
    </w:p>
    <w:p w:rsidR="00000000" w:rsidDel="00000000" w:rsidP="00000000" w:rsidRDefault="00000000" w:rsidRPr="00000000" w14:paraId="00000182">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McCormick TH, Li ZR, Calvert C, et al. Probabilistic cause-of-death assignment using verbal autopsies.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2016;111(515):1073–1083.</w:t>
      </w:r>
    </w:p>
    <w:p w:rsidR="00000000" w:rsidDel="00000000" w:rsidP="00000000" w:rsidRDefault="00000000" w:rsidRPr="00000000" w14:paraId="00000183">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Byass P, Calvert C, Miiro-Nakiyingi J, et al. InterVA-4 as a public health tool for measuring HIV/AIDS mortality: a validation study from five African countries. </w:t>
      </w:r>
      <w:r w:rsidDel="00000000" w:rsidR="00000000" w:rsidRPr="00000000">
        <w:rPr>
          <w:rFonts w:ascii="Times New Roman" w:cs="Times New Roman" w:eastAsia="Times New Roman" w:hAnsi="Times New Roman"/>
          <w:i w:val="1"/>
          <w:iCs w:val="1"/>
          <w:rtl w:val="0"/>
        </w:rPr>
        <w:t xml:space="preserve">Global Health Action</w:t>
      </w:r>
      <w:r w:rsidDel="00000000" w:rsidR="00000000" w:rsidRPr="00000000">
        <w:rPr>
          <w:rFonts w:ascii="Times New Roman" w:cs="Times New Roman" w:eastAsia="Times New Roman" w:hAnsi="Times New Roman"/>
          <w:rtl w:val="0"/>
        </w:rPr>
        <w:t xml:space="preserve">. 2013;6:22448.</w:t>
      </w:r>
    </w:p>
    <w:p w:rsidR="00000000" w:rsidDel="00000000" w:rsidP="00000000" w:rsidRDefault="00000000" w:rsidRPr="00000000" w14:paraId="00000184">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Serina P, Riley I, Stewart A, et al. A shortened verbal autopsy instrument for use in routine mortality surveillance systems. </w:t>
      </w:r>
      <w:r w:rsidDel="00000000" w:rsidR="00000000" w:rsidRPr="00000000">
        <w:rPr>
          <w:rFonts w:ascii="Times New Roman" w:cs="Times New Roman" w:eastAsia="Times New Roman" w:hAnsi="Times New Roman"/>
          <w:i w:val="1"/>
          <w:iCs w:val="1"/>
          <w:rtl w:val="0"/>
        </w:rPr>
        <w:t xml:space="preserve">PLOS ONE</w:t>
      </w:r>
      <w:r w:rsidDel="00000000" w:rsidR="00000000" w:rsidRPr="00000000">
        <w:rPr>
          <w:rFonts w:ascii="Times New Roman" w:cs="Times New Roman" w:eastAsia="Times New Roman" w:hAnsi="Times New Roman"/>
          <w:rtl w:val="0"/>
        </w:rPr>
        <w:t xml:space="preserve">. 2015;10(6):e0129683.</w:t>
      </w:r>
    </w:p>
    <w:p w:rsidR="00000000" w:rsidDel="00000000" w:rsidP="00000000" w:rsidRDefault="00000000" w:rsidRPr="00000000" w14:paraId="00000185">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Sankoh O, Byass P. The INDEPTH Network: new developments and future directions. </w:t>
      </w:r>
      <w:r w:rsidDel="00000000" w:rsidR="00000000" w:rsidRPr="00000000">
        <w:rPr>
          <w:rFonts w:ascii="Times New Roman" w:cs="Times New Roman" w:eastAsia="Times New Roman" w:hAnsi="Times New Roman"/>
          <w:i w:val="1"/>
          <w:iCs w:val="1"/>
          <w:rtl w:val="0"/>
        </w:rPr>
        <w:t xml:space="preserve">Global Health Action</w:t>
      </w:r>
      <w:r w:rsidDel="00000000" w:rsidR="00000000" w:rsidRPr="00000000">
        <w:rPr>
          <w:rFonts w:ascii="Times New Roman" w:cs="Times New Roman" w:eastAsia="Times New Roman" w:hAnsi="Times New Roman"/>
          <w:rtl w:val="0"/>
        </w:rPr>
        <w:t xml:space="preserve">. 2012;5:1–5.</w:t>
      </w:r>
    </w:p>
    <w:p w:rsidR="00000000" w:rsidDel="00000000" w:rsidP="00000000" w:rsidRDefault="00000000" w:rsidRPr="00000000" w14:paraId="00000186">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Oza S, Lawn JE, Hogan DR, Mathers C, Cousens SN. Neonatal cause-of-death estimates for the early and late neonatal periods for 194 countries: 2000–2013. </w:t>
      </w:r>
      <w:r w:rsidDel="00000000" w:rsidR="00000000" w:rsidRPr="00000000">
        <w:rPr>
          <w:rFonts w:ascii="Times New Roman" w:cs="Times New Roman" w:eastAsia="Times New Roman" w:hAnsi="Times New Roman"/>
          <w:i w:val="1"/>
          <w:iCs w:val="1"/>
          <w:rtl w:val="0"/>
        </w:rPr>
        <w:t xml:space="preserve">Bulletin of the World Health Organization</w:t>
      </w:r>
      <w:r w:rsidDel="00000000" w:rsidR="00000000" w:rsidRPr="00000000">
        <w:rPr>
          <w:rFonts w:ascii="Times New Roman" w:cs="Times New Roman" w:eastAsia="Times New Roman" w:hAnsi="Times New Roman"/>
          <w:rtl w:val="0"/>
        </w:rPr>
        <w:t xml:space="preserve">. 2015;93(1):19–28.</w:t>
      </w:r>
    </w:p>
    <w:p w:rsidR="00000000" w:rsidDel="00000000" w:rsidP="00000000" w:rsidRDefault="00000000" w:rsidRPr="00000000" w14:paraId="00000187">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World Health Organization. </w:t>
      </w:r>
      <w:r w:rsidDel="00000000" w:rsidR="00000000" w:rsidRPr="00000000">
        <w:rPr>
          <w:rFonts w:ascii="Times New Roman" w:cs="Times New Roman" w:eastAsia="Times New Roman" w:hAnsi="Times New Roman"/>
          <w:i w:val="1"/>
          <w:iCs w:val="1"/>
          <w:rtl w:val="0"/>
        </w:rPr>
        <w:t xml:space="preserve">Verbal Autopsy Standards: The 2016 WHO Verbal Autopsy Instrument</w:t>
      </w:r>
      <w:r w:rsidDel="00000000" w:rsidR="00000000" w:rsidRPr="00000000">
        <w:rPr>
          <w:rFonts w:ascii="Times New Roman" w:cs="Times New Roman" w:eastAsia="Times New Roman" w:hAnsi="Times New Roman"/>
          <w:rtl w:val="0"/>
        </w:rPr>
        <w:t xml:space="preserve">. Geneva: WHO; 2016.</w:t>
      </w:r>
    </w:p>
    <w:p w:rsidR="00000000" w:rsidDel="00000000" w:rsidP="00000000" w:rsidRDefault="00000000" w:rsidRPr="00000000" w14:paraId="00000188">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World Health Organization. </w:t>
      </w:r>
      <w:r w:rsidDel="00000000" w:rsidR="00000000" w:rsidRPr="00000000">
        <w:rPr>
          <w:rFonts w:ascii="Times New Roman" w:cs="Times New Roman" w:eastAsia="Times New Roman" w:hAnsi="Times New Roman"/>
          <w:i w:val="1"/>
          <w:iCs w:val="1"/>
          <w:rtl w:val="0"/>
        </w:rPr>
        <w:t xml:space="preserve">WHO Verbal Autopsy Instrument 2022</w:t>
      </w:r>
      <w:r w:rsidDel="00000000" w:rsidR="00000000" w:rsidRPr="00000000">
        <w:rPr>
          <w:rFonts w:ascii="Times New Roman" w:cs="Times New Roman" w:eastAsia="Times New Roman" w:hAnsi="Times New Roman"/>
          <w:rtl w:val="0"/>
        </w:rPr>
        <w:t xml:space="preserve">. Geneva: WHO; 2022.</w:t>
      </w:r>
    </w:p>
    <w:p w:rsidR="00000000" w:rsidDel="00000000" w:rsidP="00000000" w:rsidRDefault="00000000" w:rsidRPr="00000000" w14:paraId="00000189">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Salter ML, Maybury TS, Nicol E, Byass P. The ALPHA Network study on causes of death in sub-Saharan Africa: the InterVA method revisited. </w:t>
      </w:r>
      <w:r w:rsidDel="00000000" w:rsidR="00000000" w:rsidRPr="00000000">
        <w:rPr>
          <w:rFonts w:ascii="Times New Roman" w:cs="Times New Roman" w:eastAsia="Times New Roman" w:hAnsi="Times New Roman"/>
          <w:i w:val="1"/>
          <w:iCs w:val="1"/>
          <w:rtl w:val="0"/>
        </w:rPr>
        <w:t xml:space="preserve">Global Health Action</w:t>
      </w:r>
      <w:r w:rsidDel="00000000" w:rsidR="00000000" w:rsidRPr="00000000">
        <w:rPr>
          <w:rFonts w:ascii="Times New Roman" w:cs="Times New Roman" w:eastAsia="Times New Roman" w:hAnsi="Times New Roman"/>
          <w:rtl w:val="0"/>
        </w:rPr>
        <w:t xml:space="preserve">. 2020;13(1):1833677.</w:t>
      </w:r>
    </w:p>
    <w:p w:rsidR="00000000" w:rsidDel="00000000" w:rsidP="00000000" w:rsidRDefault="00000000" w:rsidRPr="00000000" w14:paraId="0000018A">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Nichols EK, Byass P, Chandramohan D, et al. The WHO 2016 verbal autopsy instrument: an international standard suitable for automated analysis by InterVA, InSilicoVA, and TARIFF 2.0. </w:t>
      </w:r>
      <w:r w:rsidDel="00000000" w:rsidR="00000000" w:rsidRPr="00000000">
        <w:rPr>
          <w:rFonts w:ascii="Times New Roman" w:cs="Times New Roman" w:eastAsia="Times New Roman" w:hAnsi="Times New Roman"/>
          <w:i w:val="1"/>
          <w:iCs w:val="1"/>
          <w:rtl w:val="0"/>
        </w:rPr>
        <w:t xml:space="preserve">PLOS Medicine</w:t>
      </w:r>
      <w:r w:rsidDel="00000000" w:rsidR="00000000" w:rsidRPr="00000000">
        <w:rPr>
          <w:rFonts w:ascii="Times New Roman" w:cs="Times New Roman" w:eastAsia="Times New Roman" w:hAnsi="Times New Roman"/>
          <w:rtl w:val="0"/>
        </w:rPr>
        <w:t xml:space="preserve">. 2018;15(1):e1002486.</w:t>
      </w:r>
    </w:p>
    <w:p w:rsidR="00000000" w:rsidDel="00000000" w:rsidP="00000000" w:rsidRDefault="00000000" w:rsidRPr="00000000" w14:paraId="0000018B">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Iyaniwura CA, Yussuf Q. Facilitators of and constraints to health facility delivery in rural Ogun State, Nigeria. </w:t>
      </w:r>
      <w:r w:rsidDel="00000000" w:rsidR="00000000" w:rsidRPr="00000000">
        <w:rPr>
          <w:rFonts w:ascii="Times New Roman" w:cs="Times New Roman" w:eastAsia="Times New Roman" w:hAnsi="Times New Roman"/>
          <w:i w:val="1"/>
          <w:iCs w:val="1"/>
          <w:rtl w:val="0"/>
        </w:rPr>
        <w:t xml:space="preserve">African Journal of Reproductive Health</w:t>
      </w:r>
      <w:r w:rsidDel="00000000" w:rsidR="00000000" w:rsidRPr="00000000">
        <w:rPr>
          <w:rFonts w:ascii="Times New Roman" w:cs="Times New Roman" w:eastAsia="Times New Roman" w:hAnsi="Times New Roman"/>
          <w:rtl w:val="0"/>
        </w:rPr>
        <w:t xml:space="preserve">. 2009;13(3):51–62.</w:t>
      </w:r>
    </w:p>
    <w:p w:rsidR="00000000" w:rsidDel="00000000" w:rsidP="00000000" w:rsidRDefault="00000000" w:rsidRPr="00000000" w14:paraId="0000018C">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Garrib A, Jaffar S, Knight S, Bradshaw D, Bennish ML. Rates and causes of child mortality in an area of high HIV prevalence in rural South Africa. </w:t>
      </w:r>
      <w:r w:rsidDel="00000000" w:rsidR="00000000" w:rsidRPr="00000000">
        <w:rPr>
          <w:rFonts w:ascii="Times New Roman" w:cs="Times New Roman" w:eastAsia="Times New Roman" w:hAnsi="Times New Roman"/>
          <w:i w:val="1"/>
          <w:iCs w:val="1"/>
          <w:rtl w:val="0"/>
        </w:rPr>
        <w:t xml:space="preserve">Tropical Medicine &amp; International Health</w:t>
      </w:r>
      <w:r w:rsidDel="00000000" w:rsidR="00000000" w:rsidRPr="00000000">
        <w:rPr>
          <w:rFonts w:ascii="Times New Roman" w:cs="Times New Roman" w:eastAsia="Times New Roman" w:hAnsi="Times New Roman"/>
          <w:rtl w:val="0"/>
        </w:rPr>
        <w:t xml:space="preserve">. 2006;11(12):1841–1848.</w:t>
      </w:r>
    </w:p>
    <w:p w:rsidR="00000000" w:rsidDel="00000000" w:rsidP="00000000" w:rsidRDefault="00000000" w:rsidRPr="00000000" w14:paraId="0000018D">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AbouZahr C, de Savigny D, Mikkelsen L, et al. Civil registration and vital statistics: progress in the data revolution for counting and accountability. </w:t>
      </w:r>
      <w:r w:rsidDel="00000000" w:rsidR="00000000" w:rsidRPr="00000000">
        <w:rPr>
          <w:rFonts w:ascii="Times New Roman" w:cs="Times New Roman" w:eastAsia="Times New Roman" w:hAnsi="Times New Roman"/>
          <w:i w:val="1"/>
          <w:iCs w:val="1"/>
          <w:rtl w:val="0"/>
        </w:rPr>
        <w:t xml:space="preserve">Lancet</w:t>
      </w:r>
      <w:r w:rsidDel="00000000" w:rsidR="00000000" w:rsidRPr="00000000">
        <w:rPr>
          <w:rFonts w:ascii="Times New Roman" w:cs="Times New Roman" w:eastAsia="Times New Roman" w:hAnsi="Times New Roman"/>
          <w:rtl w:val="0"/>
        </w:rPr>
        <w:t xml:space="preserve">. 2015;386(10001):1373–1385.</w:t>
      </w:r>
    </w:p>
    <w:p w:rsidR="00000000" w:rsidDel="00000000" w:rsidP="00000000" w:rsidRDefault="00000000" w:rsidRPr="00000000" w14:paraId="0000018E">
      <w:p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Clark SJ, McCormick TH. openVA: An open-source implementation of verbal autopsy algorithms. </w:t>
      </w:r>
      <w:r w:rsidDel="00000000" w:rsidR="00000000" w:rsidRPr="00000000">
        <w:rPr>
          <w:rFonts w:ascii="Times New Roman" w:cs="Times New Roman" w:eastAsia="Times New Roman" w:hAnsi="Times New Roman"/>
          <w:i w:val="1"/>
          <w:iCs w:val="1"/>
          <w:rtl w:val="0"/>
        </w:rPr>
        <w:t xml:space="preserve">PLOS Computational Biology</w:t>
      </w:r>
      <w:r w:rsidDel="00000000" w:rsidR="00000000" w:rsidRPr="00000000">
        <w:rPr>
          <w:rFonts w:ascii="Times New Roman" w:cs="Times New Roman" w:eastAsia="Times New Roman" w:hAnsi="Times New Roman"/>
          <w:rtl w:val="0"/>
        </w:rPr>
        <w:t xml:space="preserve">. 2019;15(9):e1007333.</w:t>
      </w:r>
    </w:p>
    <w:p w:rsidR="00000000" w:rsidDel="00000000" w:rsidP="00000000" w:rsidRDefault="00000000" w:rsidRPr="00000000" w14:paraId="0000018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0">
      <w:pPr>
        <w:spacing w:after="80" w:before="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Appendix</w:t>
      </w:r>
    </w:p>
    <w:p w:rsidR="00000000" w:rsidDel="00000000" w:rsidP="00000000" w:rsidRDefault="00000000" w:rsidRPr="00000000" w14:paraId="0000019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z3mrgp4kdl1" w:id="36"/>
      <w:bookmarkEnd w:id="36"/>
      <w:r w:rsidDel="00000000" w:rsidR="00000000" w:rsidRPr="00000000">
        <w:rPr>
          <w:rFonts w:ascii="Times New Roman" w:cs="Times New Roman" w:eastAsia="Times New Roman" w:hAnsi="Times New Roman"/>
          <w:b w:val="1"/>
          <w:bCs w:val="1"/>
          <w:sz w:val="22"/>
          <w:szCs w:val="22"/>
          <w:rtl w:val="0"/>
        </w:rPr>
        <w:t xml:space="preserve">Indicator Summary Reference</w:t>
      </w:r>
    </w:p>
    <w:p w:rsidR="00000000" w:rsidDel="00000000" w:rsidP="00000000" w:rsidRDefault="00000000" w:rsidRPr="00000000" w14:paraId="00000192">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A1. Indicator field requirements by WHO-VA version</w:t>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895"/>
        <w:gridCol w:w="1500"/>
        <w:gridCol w:w="1500"/>
        <w:gridCol w:w="2055"/>
        <w:tblGridChange w:id="0">
          <w:tblGrid>
            <w:gridCol w:w="1185"/>
            <w:gridCol w:w="2895"/>
            <w:gridCol w:w="1500"/>
            <w:gridCol w:w="1500"/>
            <w:gridCol w:w="2055"/>
          </w:tblGrid>
        </w:tblGridChange>
      </w:tblGrid>
      <w:tr>
        <w:trPr>
          <w:cantSplit w:val="0"/>
          <w:trHeight w:val="72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Indicator</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fields</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2016 compatible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 compatible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ICS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id* binary fields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80" w:before="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Requires ≥1 binary response</w:t>
            </w:r>
          </w:p>
        </w:tc>
      </w:tr>
      <w:tr>
        <w:trPr>
          <w:cantSplit w:val="0"/>
          <w:trHeight w:val="99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RRS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id10008, id10009, id10023, id10012 or id10011, id10064, id10063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fields must be parseable</w:t>
            </w:r>
          </w:p>
        </w:tc>
      </w:tr>
      <w:tr>
        <w:trPr>
          <w:cantSplit w:val="0"/>
          <w:trHeight w:val="99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ICI</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id10019, id10305, id10153, id10157, id10120, id10148, id10154, id10182, id10161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rules require numeric fields</w:t>
            </w:r>
          </w:p>
        </w:tc>
      </w:tr>
      <w:tr>
        <w:trPr>
          <w:cantSplit w:val="0"/>
          <w:trHeight w:val="99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AID</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id10011, id10481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†2016 stores time-only; cross-midnight excluded</w:t>
            </w:r>
          </w:p>
        </w:tc>
      </w:tr>
    </w:tbl>
    <w:p w:rsidR="00000000" w:rsidDel="00000000" w:rsidP="00000000" w:rsidRDefault="00000000" w:rsidRPr="00000000" w14:paraId="000001A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D">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A2. RRS scoring rubric</w:t>
      </w:r>
    </w:p>
    <w:tbl>
      <w:tblPr>
        <w:tblStyle w:val="Table1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010"/>
        <w:gridCol w:w="3900"/>
        <w:gridCol w:w="870"/>
        <w:tblGridChange w:id="0">
          <w:tblGrid>
            <w:gridCol w:w="2325"/>
            <w:gridCol w:w="2010"/>
            <w:gridCol w:w="3900"/>
            <w:gridCol w:w="870"/>
          </w:tblGrid>
        </w:tblGridChange>
      </w:tblGrid>
      <w:tr>
        <w:trPr>
          <w:cantSplit w:val="0"/>
          <w:trHeight w:val="45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Points</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 (</w:t>
            </w:r>
            <w:r w:rsidDel="00000000" w:rsidR="00000000" w:rsidRPr="00000000">
              <w:rPr>
                <w:rFonts w:ascii="Times New Roman" w:cs="Times New Roman" w:eastAsia="Times New Roman" w:hAnsi="Times New Roman"/>
                <w:b w:val="1"/>
                <w:bCs w:val="1"/>
                <w:i w:val="1"/>
                <w:iCs w:val="1"/>
                <w:rtl w:val="0"/>
              </w:rPr>
              <w:t xml:space="preserve">W</w:t>
            </w:r>
            <w:r w:rsidDel="00000000" w:rsidR="00000000" w:rsidRPr="00000000">
              <w:rPr>
                <w:rFonts w:ascii="Times New Roman" w:cs="Times New Roman" w:eastAsia="Times New Roman" w:hAnsi="Times New Roman"/>
                <w:b w:val="1"/>
                <w:bCs w:val="1"/>
                <w:rtl w:val="0"/>
              </w:rPr>
              <w:t xml:space="preserve">_rel)</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id10008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Spouse, parent, or child</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member</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 health worker, official, or other</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Presence (</w:t>
            </w:r>
            <w:r w:rsidDel="00000000" w:rsidR="00000000" w:rsidRPr="00000000">
              <w:rPr>
                <w:rFonts w:ascii="Times New Roman" w:cs="Times New Roman" w:eastAsia="Times New Roman" w:hAnsi="Times New Roman"/>
                <w:b w:val="1"/>
                <w:bCs w:val="1"/>
                <w:i w:val="1"/>
                <w:iCs w:val="1"/>
                <w:rtl w:val="0"/>
              </w:rPr>
              <w:t xml:space="preserve">W</w:t>
            </w:r>
            <w:r w:rsidDel="00000000" w:rsidR="00000000" w:rsidRPr="00000000">
              <w:rPr>
                <w:rFonts w:ascii="Times New Roman" w:cs="Times New Roman" w:eastAsia="Times New Roman" w:hAnsi="Times New Roman"/>
                <w:b w:val="1"/>
                <w:bCs w:val="1"/>
                <w:rtl w:val="0"/>
              </w:rPr>
              <w:t xml:space="preserve">_prox)</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id10009</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 (</w:t>
            </w:r>
            <w:r w:rsidDel="00000000" w:rsidR="00000000" w:rsidRPr="00000000">
              <w:rPr>
                <w:rFonts w:ascii="Times New Roman" w:cs="Times New Roman" w:eastAsia="Times New Roman" w:hAnsi="Times New Roman"/>
                <w:b w:val="1"/>
                <w:bCs w:val="1"/>
                <w:i w:val="1"/>
                <w:iCs w:val="1"/>
                <w:rtl w:val="0"/>
              </w:rPr>
              <w:t xml:space="preserve">W</w:t>
            </w:r>
            <w:r w:rsidDel="00000000" w:rsidR="00000000" w:rsidRPr="00000000">
              <w:rPr>
                <w:rFonts w:ascii="Times New Roman" w:cs="Times New Roman" w:eastAsia="Times New Roman" w:hAnsi="Times New Roman"/>
                <w:b w:val="1"/>
                <w:bCs w:val="1"/>
                <w:rtl w:val="0"/>
              </w:rPr>
              <w:t xml:space="preserve">_rec)</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id10023 – id10012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90 days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90–179 days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180–364 days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80" w:before="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365 days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Literacy (</w:t>
            </w:r>
            <w:r w:rsidDel="00000000" w:rsidR="00000000" w:rsidRPr="00000000">
              <w:rPr>
                <w:rFonts w:ascii="Times New Roman" w:cs="Times New Roman" w:eastAsia="Times New Roman" w:hAnsi="Times New Roman"/>
                <w:b w:val="1"/>
                <w:bCs w:val="1"/>
                <w:i w:val="1"/>
                <w:iCs w:val="1"/>
                <w:rtl w:val="0"/>
              </w:rPr>
              <w:t xml:space="preserve">W</w:t>
            </w:r>
            <w:r w:rsidDel="00000000" w:rsidR="00000000" w:rsidRPr="00000000">
              <w:rPr>
                <w:rFonts w:ascii="Times New Roman" w:cs="Times New Roman" w:eastAsia="Times New Roman" w:hAnsi="Times New Roman"/>
                <w:b w:val="1"/>
                <w:bCs w:val="1"/>
                <w:rtl w:val="0"/>
              </w:rPr>
              <w:t xml:space="preserve">_edu)</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id10064 / id10063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Literate (yes)</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 secondary / higher education</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Illiterate (no)</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5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education</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1E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after="80" w:before="80" w:lineRule="auto"/>
        <w:rPr>
          <w:rFonts w:ascii="Times New Roman" w:cs="Times New Roman" w:eastAsia="Times New Roman" w:hAnsi="Times New Roman"/>
          <w:b w:val="1"/>
          <w:bCs w:val="1"/>
        </w:rPr>
      </w:pPr>
      <w:commentRangeStart w:id="9"/>
      <w:r w:rsidDel="00000000" w:rsidR="00000000" w:rsidRPr="00000000">
        <w:rPr>
          <w:rFonts w:ascii="Times New Roman" w:cs="Times New Roman" w:eastAsia="Times New Roman" w:hAnsi="Times New Roman"/>
          <w:b w:val="1"/>
          <w:bCs w:val="1"/>
          <w:rtl w:val="0"/>
        </w:rPr>
        <w:t xml:space="preserve">Table A3</w:t>
      </w:r>
      <w:commentRangeEnd w:id="9"/>
      <w:r w:rsidDel="00000000" w:rsidR="00000000" w:rsidRPr="00000000">
        <w:commentReference w:id="9"/>
      </w:r>
      <w:r w:rsidDel="00000000" w:rsidR="00000000" w:rsidRPr="00000000">
        <w:rPr>
          <w:rFonts w:ascii="Times New Roman" w:cs="Times New Roman" w:eastAsia="Times New Roman" w:hAnsi="Times New Roman"/>
          <w:b w:val="1"/>
          <w:bCs w:val="1"/>
          <w:rtl w:val="0"/>
        </w:rPr>
        <w:t xml:space="preserve">. ICI consistency rules</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725"/>
        <w:gridCol w:w="6435"/>
        <w:tblGridChange w:id="0">
          <w:tblGrid>
            <w:gridCol w:w="960"/>
            <w:gridCol w:w="1725"/>
            <w:gridCol w:w="6435"/>
          </w:tblGrid>
        </w:tblGridChange>
      </w:tblGrid>
      <w:tr>
        <w:trPr>
          <w:cantSplit w:val="0"/>
          <w:trHeight w:val="720" w:hRule="atLeast"/>
          <w:tblHeader w:val="0"/>
        </w:trPr>
        <w:tc>
          <w:tcPr>
            <w:tcBorders>
              <w:top w:color="e5b8b7" w:space="0" w:sz="6" w:val="single"/>
              <w:left w:color="e5b8b7" w:space="0" w:sz="6" w:val="single"/>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ID</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w:t>
            </w:r>
          </w:p>
        </w:tc>
        <w:tc>
          <w:tcPr>
            <w:tcBorders>
              <w:top w:color="e5b8b7" w:space="0" w:sz="6" w:val="single"/>
              <w:left w:color="000000" w:space="0" w:sz="0" w:val="nil"/>
              <w:bottom w:color="d99594" w:space="0" w:sz="12"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Condition flagged as violation</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id10019, id10305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id10019 = "male" AND id10305 = "yes"</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id10153, id10157</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id10153 = "no" (no cough) AND id10157 = "yes" (cough up blood)</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C3</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id10148</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id10148 (fever days) &gt; id10120 (illness days)</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id10154</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id10154 (cough days) &gt; id10120 (illness days)</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C5</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id10182</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id10182 (diarrhoea days) &gt; id10120 (illness days)</w:t>
            </w:r>
          </w:p>
        </w:tc>
      </w:tr>
      <w:tr>
        <w:trPr>
          <w:cantSplit w:val="0"/>
          <w:trHeight w:val="720" w:hRule="atLeast"/>
          <w:tblHeader w:val="0"/>
        </w:trPr>
        <w:tc>
          <w:tcPr>
            <w:tcBorders>
              <w:top w:color="000000" w:space="0" w:sz="0" w:val="nil"/>
              <w:left w:color="e5b8b7" w:space="0" w:sz="6" w:val="single"/>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C6</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id10120, id10161</w:t>
            </w:r>
          </w:p>
        </w:tc>
        <w:tc>
          <w:tcPr>
            <w:tcBorders>
              <w:top w:color="000000" w:space="0" w:sz="0" w:val="nil"/>
              <w:left w:color="000000" w:space="0" w:sz="0" w:val="nil"/>
              <w:bottom w:color="e5b8b7" w:space="0" w:sz="6" w:val="single"/>
              <w:right w:color="e5b8b7"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id10161 (breathlessness days) &gt; id10120 (illness days)</w:t>
            </w:r>
          </w:p>
        </w:tc>
      </w:tr>
    </w:tbl>
    <w:p w:rsidR="00000000" w:rsidDel="00000000" w:rsidP="00000000" w:rsidRDefault="00000000" w:rsidRPr="00000000" w14:paraId="000001F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ac Lya2" w:id="4" w:date="2026-08-01T10:48:01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revised based on the newly suggested indicators.</w:t>
      </w:r>
    </w:p>
  </w:comment>
  <w:comment w:author="Isaac Lya2" w:id="3" w:date="2026-08-01T10:39:11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reference as well.</w:t>
      </w:r>
    </w:p>
  </w:comment>
  <w:comment w:author="Isaac Lya2" w:id="0" w:date="2026-08-01T10:15:5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C7-C10 are newly proposed checks. Re-re-run the model and update results.</w:t>
      </w:r>
    </w:p>
  </w:comment>
  <w:comment w:author="Isaac Lya2" w:id="1" w:date="2026-08-01T10:16:17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@iremashuku@gmail.com</w:t>
      </w:r>
    </w:p>
  </w:comment>
  <w:comment w:author="Isaac Lya2" w:id="9" w:date="2026-08-01T11:04:2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needs to be updated to reflect the newly proposed indicators</w:t>
      </w:r>
    </w:p>
  </w:comment>
  <w:comment w:author="Isaac Lya2" w:id="2" w:date="2026-08-01T10:34:0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the github repo.</w:t>
      </w:r>
    </w:p>
  </w:comment>
  <w:comment w:author="Shukurani Irema" w:id="6" w:date="2026-07-31T12:56:02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Cross-midnight interviews?</w:t>
      </w:r>
    </w:p>
  </w:comment>
  <w:comment w:author="Isaac Lya2" w:id="7" w:date="2026-08-01T11:01:21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that interview duration passes the midnight</w:t>
      </w:r>
    </w:p>
  </w:comment>
  <w:comment w:author="Isaac Lya2" w:id="8" w:date="2026-08-01T11:02:26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this after including the newly proposed indicators</w:t>
      </w:r>
    </w:p>
  </w:comment>
  <w:comment w:author="Isaac Lya2" w:id="5" w:date="2026-08-01T10:52:09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this section matches after the updates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jc w:val="center"/>
    </w:pPr>
    <w:rPr>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wO9Inj" TargetMode="External"/><Relationship Id="rId10" Type="http://schemas.openxmlformats.org/officeDocument/2006/relationships/hyperlink" Target="https://www.zotero.org/google-docs/?74JSlO" TargetMode="External"/><Relationship Id="rId13" Type="http://schemas.openxmlformats.org/officeDocument/2006/relationships/hyperlink" Target="https://www.zotero.org/google-docs/?bGAheC" TargetMode="External"/><Relationship Id="rId12" Type="http://schemas.openxmlformats.org/officeDocument/2006/relationships/hyperlink" Target="https://www.zotero.org/google-docs/?EkHoW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fztQCu" TargetMode="External"/><Relationship Id="rId14" Type="http://schemas.openxmlformats.org/officeDocument/2006/relationships/hyperlink" Target="https://www.zotero.org/google-docs/?YP39L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311Hx5" TargetMode="External"/><Relationship Id="rId8" Type="http://schemas.openxmlformats.org/officeDocument/2006/relationships/hyperlink" Target="https://www.zotero.org/google-docs/?cek1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