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36"/>
        </w:rPr>
        <w:t>CCVA-ML: Automated Cause-of-Death Classification</w:t>
        <w:br/>
        <w:t>Using Verbal Autopsy and Natural Language Processing</w:t>
      </w:r>
    </w:p>
    <w:p/>
    <w:p>
      <w:pPr>
        <w:jc w:val="center"/>
      </w:pPr>
      <w:r>
        <w:rPr>
          <w:b/>
          <w:color w:val="2E74B5"/>
          <w:sz w:val="28"/>
        </w:rPr>
        <w:t>Research Funding Proposal — Masters Studentship</w:t>
      </w:r>
    </w:p>
    <w:p/>
    <w:p/>
    <w:p>
      <w:pPr>
        <w:jc w:val="center"/>
      </w:pPr>
      <w:r>
        <w:rPr>
          <w:sz w:val="22"/>
        </w:rPr>
        <w:t>June 2026</w:t>
      </w:r>
    </w:p>
    <w:p/>
    <w:p>
      <w:pPr>
        <w:ind w:left="1134" w:right="1134"/>
      </w:pPr>
      <w:r>
        <w:rPr>
          <w:i/>
          <w:sz w:val="20"/>
        </w:rPr>
        <w:t>ABSTRACT</w:t>
        <w:br/>
        <w:br/>
        <w:t>Verbal autopsy (VA) is the primary method for estimating cause-of-death distributions in populations without complete civil registration and vital statistics systems. This proposal seeks funding for a Master's student to advance CCVA-ML — a hybrid machine-learning system that assigns cause of death from WHO-standard verbal autopsy questionnaires. The current system combines structured symptom features (817 clinical indicators) with deep semantic embeddings of free-text narrative responses, achieving 93.8 % accuracy and 92.3 % macro-F1 across 23 cause-of-death categories on an independent hold-out set. Proposed work includes probabilistic calibration, transformer-based architectures, multi-site validation, and deployment as a publicly accessible web service.</w:t>
      </w:r>
    </w:p>
    <w:p>
      <w:r>
        <w:br w:type="page"/>
      </w:r>
    </w:p>
    <w:p>
      <w:pPr>
        <w:pStyle w:val="Heading1"/>
      </w:pPr>
      <w:r>
        <w:t>1. Introduction and Motivation</w:t>
      </w:r>
    </w:p>
    <w:p>
      <w:r>
        <w:rPr>
          <w:b w:val="0"/>
          <w:i w:val="0"/>
        </w:rPr>
        <w:t>Approximately 55 million people die every year. In low- and middle-income countries (LMICs) — where more than 70 % of global deaths occur — the majority of deaths take place at home or in settings with no medical attendance. As a result, fewer than one-third of deaths in sub-Saharan Africa and South Asia are assigned a medically certified cause. Without reliable cause-of-death data, health systems cannot allocate resources, track epidemic trends, or measure the impact of interventions.</w:t>
      </w:r>
    </w:p>
    <w:p/>
    <w:p>
      <w:r>
        <w:rPr>
          <w:b w:val="0"/>
          <w:i w:val="0"/>
        </w:rPr>
        <w:t>Verbal autopsy (VA) is the internationally recognised solution: a trained interviewer visits the household of a recently deceased person and administers a structured questionnaire to family members. The questionnaire captures symptoms, signs, circumstances, duration, and — critically — an open-ended narrative account of the illness in the informant's own words. A physician or algorithm then uses this information to assign a probable cause of death.</w:t>
      </w:r>
    </w:p>
    <w:p/>
    <w:p>
      <w:r>
        <w:rPr>
          <w:b w:val="0"/>
          <w:i w:val="0"/>
        </w:rPr>
        <w:t>Traditional physician review is expensive, slow, and subject to inter-rater variability. Computer-coded verbal autopsy (CCVA) tools have been developed to automate this process, but most existing tools treat the VA questionnaire as a purely structured checklist and discard the rich narrative text. CCVA-ML addresses this limitation by combining a high-performance gradient-boosted decision tree with a deep natural-language-processing layer that reads and interprets the free-text narrative — mirroring how a skilled clinician actually reasons.</w:t>
      </w:r>
    </w:p>
    <w:p>
      <w:pPr>
        <w:pStyle w:val="Heading1"/>
      </w:pPr>
      <w:r>
        <w:t>2. Current System Overview</w:t>
      </w:r>
    </w:p>
    <w:p>
      <w:r>
        <w:rPr>
          <w:b w:val="0"/>
          <w:i w:val="0"/>
        </w:rPr>
        <w:t>CCVA-ML is a fully automated end-to-end pipeline that ingests raw WHO verbal autopsy survey files and outputs a probabilistic cause-of-death assignment for every record. The system currently supports WHO VA 2016 and WHO VA 2022 instrument formats and has been trained on data from three countries (Tanzania, Nigeria, and Spain).</w:t>
      </w:r>
    </w:p>
    <w:p>
      <w:pPr>
        <w:pStyle w:val="Heading2"/>
      </w:pPr>
      <w:r>
        <w:t>2.1 Input Data</w:t>
      </w:r>
    </w:p>
    <w:p>
      <w:r>
        <w:rPr>
          <w:b w:val="0"/>
          <w:i w:val="0"/>
        </w:rPr>
        <w:t>Training data consists of 4,259 verbal autopsy records from three independent cohorts representing diverse epidemiological settings:</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1F4E79"/>
          </w:tcPr>
          <w:p>
            <w:r>
              <w:rPr>
                <w:b/>
                <w:color w:val="FFFFFF"/>
              </w:rPr>
              <w:t>Dataset</w:t>
            </w:r>
          </w:p>
        </w:tc>
        <w:tc>
          <w:tcPr>
            <w:tcW w:type="dxa" w:w="1584"/>
            <w:shd w:val="clear" w:color="auto" w:fill="1F4E79"/>
          </w:tcPr>
          <w:p>
            <w:r>
              <w:rPr>
                <w:b/>
                <w:color w:val="FFFFFF"/>
              </w:rPr>
              <w:t>Country</w:t>
            </w:r>
          </w:p>
        </w:tc>
        <w:tc>
          <w:tcPr>
            <w:tcW w:type="dxa" w:w="2016"/>
            <w:shd w:val="clear" w:color="auto" w:fill="1F4E79"/>
          </w:tcPr>
          <w:p>
            <w:r>
              <w:rPr>
                <w:b/>
                <w:color w:val="FFFFFF"/>
              </w:rPr>
              <w:t>VA Instrument</w:t>
            </w:r>
          </w:p>
        </w:tc>
        <w:tc>
          <w:tcPr>
            <w:tcW w:type="dxa" w:w="1296"/>
            <w:shd w:val="clear" w:color="auto" w:fill="1F4E79"/>
          </w:tcPr>
          <w:p>
            <w:r>
              <w:rPr>
                <w:b/>
                <w:color w:val="FFFFFF"/>
              </w:rPr>
              <w:t>Records</w:t>
            </w:r>
          </w:p>
        </w:tc>
        <w:tc>
          <w:tcPr>
            <w:tcW w:type="dxa" w:w="3024"/>
            <w:shd w:val="clear" w:color="auto" w:fill="1F4E79"/>
          </w:tcPr>
          <w:p>
            <w:r>
              <w:rPr>
                <w:b/>
                <w:color w:val="FFFFFF"/>
              </w:rPr>
              <w:t>Notes</w:t>
            </w:r>
          </w:p>
        </w:tc>
      </w:tr>
      <w:tr>
        <w:tc>
          <w:tcPr>
            <w:tcW w:type="dxa" w:w="1872"/>
          </w:tcPr>
          <w:p>
            <w:r>
              <w:t>va_2016_tz</w:t>
            </w:r>
          </w:p>
        </w:tc>
        <w:tc>
          <w:tcPr>
            <w:tcW w:type="dxa" w:w="1584"/>
          </w:tcPr>
          <w:p>
            <w:r>
              <w:t>Tanzania</w:t>
            </w:r>
          </w:p>
        </w:tc>
        <w:tc>
          <w:tcPr>
            <w:tcW w:type="dxa" w:w="2016"/>
          </w:tcPr>
          <w:p>
            <w:r>
              <w:t>WHO VA 2016</w:t>
            </w:r>
          </w:p>
        </w:tc>
        <w:tc>
          <w:tcPr>
            <w:tcW w:type="dxa" w:w="1296"/>
          </w:tcPr>
          <w:p>
            <w:r>
              <w:t>~2 900</w:t>
            </w:r>
          </w:p>
        </w:tc>
        <w:tc>
          <w:tcPr>
            <w:tcW w:type="dxa" w:w="3024"/>
          </w:tcPr>
          <w:p>
            <w:r>
              <w:t>High malaria/infectious burden</w:t>
            </w:r>
          </w:p>
        </w:tc>
      </w:tr>
      <w:tr>
        <w:tc>
          <w:tcPr>
            <w:tcW w:type="dxa" w:w="1872"/>
          </w:tcPr>
          <w:p>
            <w:r>
              <w:t>va_2022_ng</w:t>
            </w:r>
          </w:p>
        </w:tc>
        <w:tc>
          <w:tcPr>
            <w:tcW w:type="dxa" w:w="1584"/>
          </w:tcPr>
          <w:p>
            <w:r>
              <w:t>Nigeria</w:t>
            </w:r>
          </w:p>
        </w:tc>
        <w:tc>
          <w:tcPr>
            <w:tcW w:type="dxa" w:w="2016"/>
          </w:tcPr>
          <w:p>
            <w:r>
              <w:t>WHO VA 2022</w:t>
            </w:r>
          </w:p>
        </w:tc>
        <w:tc>
          <w:tcPr>
            <w:tcW w:type="dxa" w:w="1296"/>
          </w:tcPr>
          <w:p>
            <w:r>
              <w:t>~800</w:t>
            </w:r>
          </w:p>
        </w:tc>
        <w:tc>
          <w:tcPr>
            <w:tcW w:type="dxa" w:w="3024"/>
          </w:tcPr>
          <w:p>
            <w:r>
              <w:t>Urban/rural mixed</w:t>
            </w:r>
          </w:p>
        </w:tc>
      </w:tr>
      <w:tr>
        <w:tc>
          <w:tcPr>
            <w:tcW w:type="dxa" w:w="1872"/>
          </w:tcPr>
          <w:p>
            <w:r>
              <w:t>va_2022_es</w:t>
            </w:r>
          </w:p>
        </w:tc>
        <w:tc>
          <w:tcPr>
            <w:tcW w:type="dxa" w:w="1584"/>
          </w:tcPr>
          <w:p>
            <w:r>
              <w:t>Spain</w:t>
            </w:r>
          </w:p>
        </w:tc>
        <w:tc>
          <w:tcPr>
            <w:tcW w:type="dxa" w:w="2016"/>
          </w:tcPr>
          <w:p>
            <w:r>
              <w:t>WHO VA 2022</w:t>
            </w:r>
          </w:p>
        </w:tc>
        <w:tc>
          <w:tcPr>
            <w:tcW w:type="dxa" w:w="1296"/>
          </w:tcPr>
          <w:p>
            <w:r>
              <w:t>~560</w:t>
            </w:r>
          </w:p>
        </w:tc>
        <w:tc>
          <w:tcPr>
            <w:tcW w:type="dxa" w:w="3024"/>
          </w:tcPr>
          <w:p>
            <w:r>
              <w:t>High-income HDSS setting</w:t>
            </w:r>
          </w:p>
        </w:tc>
      </w:tr>
    </w:tbl>
    <w:p/>
    <w:p>
      <w:r>
        <w:rPr>
          <w:b w:val="0"/>
          <w:i w:val="0"/>
        </w:rPr>
        <w:t>Each record contains up to 600 structured questions (dichotomous yes/no/don't-know, ordinal, and free-text fields) plus four narrative text fields (WHO field codes id10476, id10477, id10479, id10436) in which the informant describes the final illness in their own words.</w:t>
      </w:r>
    </w:p>
    <w:p>
      <w:pPr>
        <w:pStyle w:val="Heading2"/>
      </w:pPr>
      <w:r>
        <w:t>2.2 Data Processing Pipeline</w:t>
      </w:r>
    </w:p>
    <w:p>
      <w:r>
        <w:rPr>
          <w:b w:val="0"/>
          <w:i w:val="0"/>
        </w:rPr>
        <w:t>Raw VA survey CSV files are ingested through a multi-stage preprocessing pipeline before any machine-learning model sees the data:</w:t>
      </w:r>
    </w:p>
    <w:p/>
    <w:p>
      <w:pPr>
        <w:pStyle w:val="ListNumber"/>
      </w:pPr>
      <w:r>
        <w:t>Instrument Detection — The system automatically identifies whether the file uses the WHO VA 2016 or 2022 questionnaire format by pattern-matching column names against embedded instrument dictionaries. This allows multi-version training and prediction without manual configuration.</w:t>
      </w:r>
    </w:p>
    <w:p>
      <w:pPr>
        <w:pStyle w:val="ListNumber"/>
      </w:pPr>
      <w:r>
        <w:t>Data Quality Filtering — Columns with more than 70 % missing values per cause-of-death group are dropped. Records with extreme missingness profiles are flagged. A vman3-dq quality module enforces standardised null-value handling ('dk' / 'skipped' / NaN normalisation).</w:t>
      </w:r>
    </w:p>
    <w:p>
      <w:pPr>
        <w:pStyle w:val="ListNumber"/>
      </w:pPr>
      <w:r>
        <w:t>Cause-of-Death Harmonisation — Raw physician labels (pcva_ucod) are mapped to WHO ICD-10 standardised cause groups via a curated taxonomy. Rare causes with fewer than 50 training examples are aggregated into clinically coherent clusters (e.g., 'cluster_respiratory_disorders') to prevent the classifier from learning spurious patterns from insufficient data. This produces 23 cause categories.</w:t>
      </w:r>
    </w:p>
    <w:p>
      <w:pPr>
        <w:pStyle w:val="ListNumber"/>
      </w:pPr>
      <w:r>
        <w:t>Label Quality Auditing — A two-stage pipeline first applies Cleanlab statistical out-of-fold cross-validation to score each training record's label quality, then passes the most suspicious records to a large language model (Claude API) for a second clinical opinion. No labels are auto-corrected — the output is a physician-reviewable report listing candidate mislabelled records.</w:t>
      </w:r>
    </w:p>
    <w:p>
      <w:pPr>
        <w:pStyle w:val="ListNumber"/>
      </w:pPr>
      <w:r>
        <w:t>Feature Engineering — Structured VA responses are ordinal- or label-encoded. The 817 final feature dimensions include binary symptom indicators, duration variables, age/sex demographics, and timing of death.</w:t>
      </w:r>
    </w:p>
    <w:p>
      <w:pPr>
        <w:pStyle w:val="ListNumber"/>
      </w:pPr>
      <w:r>
        <w:t>Narrative Embedding — The four free-text narrative fields are concatenated and encoded into a 384-dimensional dense vector using the paraphrase-multilingual-MiniLM-L12-v2 sentence-transformer model. This model was pre-trained on over one billion sentence pairs across 50+ languages, making it suitable for VA data collected in African, European, and Asian settings. The embedding captures semantic meaning — 'patient had fever and rigors for three days before dying' activates patterns associated with malaria even if the word 'malaria' does not appear.</w:t>
      </w:r>
    </w:p>
    <w:p>
      <w:pPr>
        <w:pStyle w:val="ListNumber"/>
      </w:pPr>
      <w:r>
        <w:t>Train / Holdout Split — After all preprocessing and embedding, records are divided into 80 % training and 20 % holdout using stratified random sampling. The holdout set is sealed and never seen during any training, cross-validation, or hyperparameter search step. Final performance metrics are computed exclusively on this held-out 20 %.</w:t>
      </w:r>
    </w:p>
    <w:p>
      <w:pPr>
        <w:pStyle w:val="ListNumber"/>
      </w:pPr>
      <w:r>
        <w:t>Feature Scaling — A StandardScaler is fitted on training records only (not the holdout) to prevent data leakage. The fitted scaler is persisted with the model artifact and applied at prediction time.</w:t>
      </w:r>
    </w:p>
    <w:p/>
    <w:p>
      <w:pPr>
        <w:pStyle w:val="Heading2"/>
      </w:pPr>
      <w:r>
        <w:t>2.3 Hybrid Model Design</w:t>
      </w:r>
    </w:p>
    <w:p>
      <w:r>
        <w:rPr>
          <w:b w:val="0"/>
          <w:i w:val="0"/>
        </w:rPr>
        <w:t>A key distinguishing characteristic of CCVA-ML is its hybrid feature representation that mirrors the way a clinician reads a verbal autopsy:</w:t>
      </w:r>
    </w:p>
    <w:p/>
    <w:p>
      <w:r>
        <w:rPr>
          <w:b/>
          <w:i w:val="0"/>
        </w:rPr>
        <w:t>Structured symptom block (817 dimensions)</w:t>
      </w:r>
    </w:p>
    <w:p>
      <w:pPr>
        <w:ind w:left="567"/>
      </w:pPr>
      <w:r>
        <w:rPr>
          <w:b w:val="0"/>
          <w:i w:val="0"/>
        </w:rPr>
        <w:t xml:space="preserve">    These features encode the responses to the WHO VA questionnaire checklist: was there fever? for how many days? was there a rash? weight loss? difficulty breathing? Each binary or ordinal response is encoded numerically and scaled.</w:t>
      </w:r>
    </w:p>
    <w:p/>
    <w:p>
      <w:r>
        <w:rPr>
          <w:b/>
          <w:i w:val="0"/>
        </w:rPr>
        <w:t>Narrative embedding block (384 dimensions)</w:t>
      </w:r>
    </w:p>
    <w:p>
      <w:pPr>
        <w:ind w:left="567"/>
      </w:pPr>
      <w:r>
        <w:rPr>
          <w:b w:val="0"/>
          <w:i w:val="0"/>
        </w:rPr>
        <w:t xml:space="preserve">    Free-text accounts written by bereaved family members are embedded into a dense semantic vector. This captures contextual meaning — temporal sequences, causal language, and disease descriptions — that the structured checklist cannot represent. At prediction time, each record's SHAP (SHapley Additive exPlanation) attribution values are computed per feature, and the aggregate contribution of the narrative block is reported as a percentage of total prediction weight. When the narrative block accounts for 15 % or more of the decision, a plain-English summary of the narrative's direction is included in the prediction notes output.</w:t>
      </w:r>
    </w:p>
    <w:p/>
    <w:p>
      <w:r>
        <w:rPr>
          <w:b w:val="0"/>
          <w:i w:val="0"/>
        </w:rPr>
        <w:t>The final feature matrix presented to the model is therefore the horizontal concatenation of these two blocks: [structured | narrative] ∈ ℝ^(817+384) = ℝ^1201. This combined representation is 47 % larger than a structured-only model and directly accounts for the qualitative clinical knowledge embedded in informant narratives.</w:t>
      </w:r>
    </w:p>
    <w:p>
      <w:pPr>
        <w:pStyle w:val="Heading2"/>
      </w:pPr>
      <w:r>
        <w:t>2.4 Model Selection and Hyperparameter Search</w:t>
      </w:r>
    </w:p>
    <w:p>
      <w:r>
        <w:rPr>
          <w:b w:val="0"/>
          <w:i w:val="0"/>
        </w:rPr>
        <w:t>Two model families are trained and compared in each run via stratified 5-fold randomised cross-validation hyperparameter search (10 iterations each):</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1F4E79"/>
          </w:tcPr>
          <w:p>
            <w:r>
              <w:rPr>
                <w:b/>
                <w:color w:val="FFFFFF"/>
              </w:rPr>
              <w:t>Model</w:t>
            </w:r>
          </w:p>
        </w:tc>
        <w:tc>
          <w:tcPr>
            <w:tcW w:type="dxa" w:w="3456"/>
            <w:shd w:val="clear" w:color="auto" w:fill="1F4E79"/>
          </w:tcPr>
          <w:p>
            <w:r>
              <w:rPr>
                <w:b/>
                <w:color w:val="FFFFFF"/>
              </w:rPr>
              <w:t>Hyperparameters Searched</w:t>
            </w:r>
          </w:p>
        </w:tc>
        <w:tc>
          <w:tcPr>
            <w:tcW w:type="dxa" w:w="1728"/>
            <w:shd w:val="clear" w:color="auto" w:fill="1F4E79"/>
          </w:tcPr>
          <w:p>
            <w:r>
              <w:rPr>
                <w:b/>
                <w:color w:val="FFFFFF"/>
              </w:rPr>
              <w:t>CV Macro-F1</w:t>
            </w:r>
          </w:p>
        </w:tc>
        <w:tc>
          <w:tcPr>
            <w:tcW w:type="dxa" w:w="2016"/>
            <w:shd w:val="clear" w:color="auto" w:fill="1F4E79"/>
          </w:tcPr>
          <w:p>
            <w:r>
              <w:rPr>
                <w:b/>
                <w:color w:val="FFFFFF"/>
              </w:rPr>
              <w:t>Holdout Accuracy</w:t>
            </w:r>
          </w:p>
        </w:tc>
        <w:tc>
          <w:tcPr>
            <w:tcW w:type="dxa" w:w="1872"/>
            <w:shd w:val="clear" w:color="auto" w:fill="1F4E79"/>
          </w:tcPr>
          <w:p>
            <w:r>
              <w:rPr>
                <w:b/>
                <w:color w:val="FFFFFF"/>
              </w:rPr>
              <w:t>Holdout Macro-F1</w:t>
            </w:r>
          </w:p>
        </w:tc>
      </w:tr>
      <w:tr>
        <w:tc>
          <w:tcPr>
            <w:tcW w:type="dxa" w:w="2160"/>
          </w:tcPr>
          <w:p>
            <w:r>
              <w:t>XGBoost (winner)</w:t>
            </w:r>
          </w:p>
        </w:tc>
        <w:tc>
          <w:tcPr>
            <w:tcW w:type="dxa" w:w="3456"/>
          </w:tcPr>
          <w:p>
            <w:r>
              <w:t>n_estimators, max_depth, learning_rate,</w:t>
              <w:br/>
              <w:t>subsample, colsample_bytree, min_child_weight</w:t>
            </w:r>
          </w:p>
        </w:tc>
        <w:tc>
          <w:tcPr>
            <w:tcW w:type="dxa" w:w="1728"/>
          </w:tcPr>
          <w:p>
            <w:r>
              <w:t>90.1 %</w:t>
            </w:r>
          </w:p>
        </w:tc>
        <w:tc>
          <w:tcPr>
            <w:tcW w:type="dxa" w:w="2016"/>
          </w:tcPr>
          <w:p>
            <w:r>
              <w:t>93.8 %</w:t>
            </w:r>
          </w:p>
        </w:tc>
        <w:tc>
          <w:tcPr>
            <w:tcW w:type="dxa" w:w="1872"/>
          </w:tcPr>
          <w:p>
            <w:r>
              <w:t>92.3 %</w:t>
            </w:r>
          </w:p>
        </w:tc>
      </w:tr>
      <w:tr>
        <w:tc>
          <w:tcPr>
            <w:tcW w:type="dxa" w:w="2160"/>
          </w:tcPr>
          <w:p>
            <w:r>
              <w:t>Random Forest</w:t>
            </w:r>
          </w:p>
        </w:tc>
        <w:tc>
          <w:tcPr>
            <w:tcW w:type="dxa" w:w="3456"/>
          </w:tcPr>
          <w:p>
            <w:r>
              <w:t>n_estimators, max_depth,</w:t>
              <w:br/>
              <w:t>min_samples_split, min_samples_leaf</w:t>
            </w:r>
          </w:p>
        </w:tc>
        <w:tc>
          <w:tcPr>
            <w:tcW w:type="dxa" w:w="1728"/>
          </w:tcPr>
          <w:p>
            <w:r>
              <w:t>83.2 %</w:t>
            </w:r>
          </w:p>
        </w:tc>
        <w:tc>
          <w:tcPr>
            <w:tcW w:type="dxa" w:w="2016"/>
          </w:tcPr>
          <w:p>
            <w:r>
              <w:t>84.7 %</w:t>
            </w:r>
          </w:p>
        </w:tc>
        <w:tc>
          <w:tcPr>
            <w:tcW w:type="dxa" w:w="1872"/>
          </w:tcPr>
          <w:p>
            <w:r>
              <w:t>82.3 %</w:t>
            </w:r>
          </w:p>
        </w:tc>
      </w:tr>
    </w:tbl>
    <w:p/>
    <w:p>
      <w:r>
        <w:rPr>
          <w:b w:val="0"/>
          <w:i w:val="0"/>
        </w:rPr>
        <w:t>XGBoost (gradient-boosted trees) outperformed Random Forest on all metrics and was selected as the production model. The best hyperparameter configuration was: 100 estimators, max_depth=9, learning_rate=0.05, subsample=0.8, colsample_bytree=1.0, min_child_weight=3.</w:t>
      </w:r>
    </w:p>
    <w:p/>
    <w:p>
      <w:r>
        <w:rPr>
          <w:b w:val="0"/>
          <w:i w:val="0"/>
        </w:rPr>
        <w:t>The winning model is serialised along with the fitted scaler, label encoder, feature encoders, OOD detection thresholds, training class counts (used for Wilson score confidence intervals), and narrative embedding metadata. This single artifact file is sufficient to reproduce all predictions in a new environment.</w:t>
      </w:r>
    </w:p>
    <w:p>
      <w:r>
        <w:br w:type="page"/>
      </w:r>
    </w:p>
    <w:p>
      <w:pPr>
        <w:pStyle w:val="Heading1"/>
      </w:pPr>
      <w:r>
        <w:t>3. Model Performance on Independent Hold-Out Data</w:t>
      </w:r>
    </w:p>
    <w:p>
      <w:r>
        <w:rPr>
          <w:b w:val="0"/>
          <w:i w:val="0"/>
        </w:rPr>
        <w:t>All metrics below are computed on 1,332 records (20 % of total) that were fully withheld from all training and tuning steps. This represents a realistic estimate of performance on new VA data from the same survey populations.</w:t>
      </w:r>
    </w:p>
    <w:p/>
    <w:p>
      <w:pPr>
        <w:pStyle w:val="Heading2"/>
      </w:pPr>
      <w:r>
        <w:t>3.1 Summary Statistics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t>Metric</w:t>
            </w:r>
          </w:p>
        </w:tc>
        <w:tc>
          <w:tcPr>
            <w:tcW w:type="dxa" w:w="1584"/>
            <w:shd w:val="clear" w:color="auto" w:fill="1F4E79"/>
          </w:tcPr>
          <w:p>
            <w:r>
              <w:rPr>
                <w:b/>
                <w:color w:val="FFFFFF"/>
              </w:rPr>
              <w:t>Value</w:t>
            </w:r>
          </w:p>
        </w:tc>
        <w:tc>
          <w:tcPr>
            <w:tcW w:type="dxa" w:w="4608"/>
            <w:shd w:val="clear" w:color="auto" w:fill="1F4E79"/>
          </w:tcPr>
          <w:p>
            <w:r>
              <w:rPr>
                <w:b/>
                <w:color w:val="FFFFFF"/>
              </w:rPr>
              <w:t>Interpretation</w:t>
            </w:r>
          </w:p>
        </w:tc>
      </w:tr>
      <w:tr>
        <w:tc>
          <w:tcPr>
            <w:tcW w:type="dxa" w:w="2880"/>
          </w:tcPr>
          <w:p>
            <w:r>
              <w:t>Overall Accuracy</w:t>
            </w:r>
          </w:p>
        </w:tc>
        <w:tc>
          <w:tcPr>
            <w:tcW w:type="dxa" w:w="1584"/>
          </w:tcPr>
          <w:p>
            <w:r>
              <w:t>93.8 %</w:t>
            </w:r>
          </w:p>
        </w:tc>
        <w:tc>
          <w:tcPr>
            <w:tcW w:type="dxa" w:w="4608"/>
          </w:tcPr>
          <w:p>
            <w:r>
              <w:t>Fraction of cases correctly classified</w:t>
            </w:r>
          </w:p>
        </w:tc>
      </w:tr>
      <w:tr>
        <w:tc>
          <w:tcPr>
            <w:tcW w:type="dxa" w:w="2880"/>
          </w:tcPr>
          <w:p>
            <w:r>
              <w:t>Macro-averaged F1</w:t>
            </w:r>
          </w:p>
        </w:tc>
        <w:tc>
          <w:tcPr>
            <w:tcW w:type="dxa" w:w="1584"/>
          </w:tcPr>
          <w:p>
            <w:r>
              <w:t>92.3 %</w:t>
            </w:r>
          </w:p>
        </w:tc>
        <w:tc>
          <w:tcPr>
            <w:tcW w:type="dxa" w:w="4608"/>
          </w:tcPr>
          <w:p>
            <w:r>
              <w:t>Unweighted mean F1 across all 23 cause categories</w:t>
            </w:r>
          </w:p>
        </w:tc>
      </w:tr>
      <w:tr>
        <w:tc>
          <w:tcPr>
            <w:tcW w:type="dxa" w:w="2880"/>
          </w:tcPr>
          <w:p>
            <w:r>
              <w:t>Weighted-averaged F1</w:t>
            </w:r>
          </w:p>
        </w:tc>
        <w:tc>
          <w:tcPr>
            <w:tcW w:type="dxa" w:w="1584"/>
          </w:tcPr>
          <w:p>
            <w:r>
              <w:t>93.6 %</w:t>
            </w:r>
          </w:p>
        </w:tc>
        <w:tc>
          <w:tcPr>
            <w:tcW w:type="dxa" w:w="4608"/>
          </w:tcPr>
          <w:p>
            <w:r>
              <w:t>F1 weighted by class frequency</w:t>
            </w:r>
          </w:p>
        </w:tc>
      </w:tr>
      <w:tr>
        <w:tc>
          <w:tcPr>
            <w:tcW w:type="dxa" w:w="2880"/>
          </w:tcPr>
          <w:p>
            <w:r>
              <w:t>Macro-averaged Precision</w:t>
            </w:r>
          </w:p>
        </w:tc>
        <w:tc>
          <w:tcPr>
            <w:tcW w:type="dxa" w:w="1584"/>
          </w:tcPr>
          <w:p>
            <w:r>
              <w:t>93.8 %</w:t>
            </w:r>
          </w:p>
        </w:tc>
        <w:tc>
          <w:tcPr>
            <w:tcW w:type="dxa" w:w="4608"/>
          </w:tcPr>
          <w:p>
            <w:r>
              <w:t>Unweighted mean precision across classes</w:t>
            </w:r>
          </w:p>
        </w:tc>
      </w:tr>
      <w:tr>
        <w:tc>
          <w:tcPr>
            <w:tcW w:type="dxa" w:w="2880"/>
          </w:tcPr>
          <w:p>
            <w:r>
              <w:t>Macro-averaged Recall</w:t>
            </w:r>
          </w:p>
        </w:tc>
        <w:tc>
          <w:tcPr>
            <w:tcW w:type="dxa" w:w="1584"/>
          </w:tcPr>
          <w:p>
            <w:r>
              <w:t>91.5 %</w:t>
            </w:r>
          </w:p>
        </w:tc>
        <w:tc>
          <w:tcPr>
            <w:tcW w:type="dxa" w:w="4608"/>
          </w:tcPr>
          <w:p>
            <w:r>
              <w:t>Unweighted mean recall across classes</w:t>
            </w:r>
          </w:p>
        </w:tc>
      </w:tr>
      <w:tr>
        <w:tc>
          <w:tcPr>
            <w:tcW w:type="dxa" w:w="2880"/>
          </w:tcPr>
          <w:p>
            <w:r>
              <w:t>Hold-out set size</w:t>
            </w:r>
          </w:p>
        </w:tc>
        <w:tc>
          <w:tcPr>
            <w:tcW w:type="dxa" w:w="1584"/>
          </w:tcPr>
          <w:p>
            <w:r>
              <w:t>1 332</w:t>
            </w:r>
          </w:p>
        </w:tc>
        <w:tc>
          <w:tcPr>
            <w:tcW w:type="dxa" w:w="4608"/>
          </w:tcPr>
          <w:p>
            <w:r>
              <w:t>Records unseen during any training step</w:t>
            </w:r>
          </w:p>
        </w:tc>
      </w:tr>
      <w:tr>
        <w:tc>
          <w:tcPr>
            <w:tcW w:type="dxa" w:w="2880"/>
          </w:tcPr>
          <w:p>
            <w:r>
              <w:t>Training set size</w:t>
            </w:r>
          </w:p>
        </w:tc>
        <w:tc>
          <w:tcPr>
            <w:tcW w:type="dxa" w:w="1584"/>
          </w:tcPr>
          <w:p>
            <w:r>
              <w:t>4 259</w:t>
            </w:r>
          </w:p>
        </w:tc>
        <w:tc>
          <w:tcPr>
            <w:tcW w:type="dxa" w:w="4608"/>
          </w:tcPr>
          <w:p>
            <w:r>
              <w:t>Records used for training and validation</w:t>
            </w:r>
          </w:p>
        </w:tc>
      </w:tr>
    </w:tbl>
    <w:p/>
    <w:p>
      <w:pPr>
        <w:pStyle w:val="Heading2"/>
      </w:pPr>
      <w:r>
        <w:t>3.2 Per-Class Performance</w:t>
      </w:r>
    </w:p>
    <w:p>
      <w:r>
        <w:rPr>
          <w:b w:val="0"/>
          <w:i w:val="0"/>
        </w:rPr>
        <w:t>The table below shows precision, recall, and F1-score for each of the 23 cause categories on the hold-out set:</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032"/>
            <w:shd w:val="clear" w:color="auto" w:fill="1F4E79"/>
          </w:tcPr>
          <w:p>
            <w:r>
              <w:rPr>
                <w:b/>
                <w:color w:val="FFFFFF"/>
              </w:rPr>
              <w:t>Cause of Death Category</w:t>
            </w:r>
          </w:p>
        </w:tc>
        <w:tc>
          <w:tcPr>
            <w:tcW w:type="dxa" w:w="1368"/>
            <w:shd w:val="clear" w:color="auto" w:fill="1F4E79"/>
          </w:tcPr>
          <w:p>
            <w:r>
              <w:rPr>
                <w:b/>
                <w:color w:val="FFFFFF"/>
              </w:rPr>
              <w:t>Precision %</w:t>
            </w:r>
          </w:p>
        </w:tc>
        <w:tc>
          <w:tcPr>
            <w:tcW w:type="dxa" w:w="1224"/>
            <w:shd w:val="clear" w:color="auto" w:fill="1F4E79"/>
          </w:tcPr>
          <w:p>
            <w:r>
              <w:rPr>
                <w:b/>
                <w:color w:val="FFFFFF"/>
              </w:rPr>
              <w:t>Recall %</w:t>
            </w:r>
          </w:p>
        </w:tc>
        <w:tc>
          <w:tcPr>
            <w:tcW w:type="dxa" w:w="1080"/>
            <w:shd w:val="clear" w:color="auto" w:fill="1F4E79"/>
          </w:tcPr>
          <w:p>
            <w:r>
              <w:rPr>
                <w:b/>
                <w:color w:val="FFFFFF"/>
              </w:rPr>
              <w:t>F1 %</w:t>
            </w:r>
          </w:p>
        </w:tc>
        <w:tc>
          <w:tcPr>
            <w:tcW w:type="dxa" w:w="648"/>
            <w:shd w:val="clear" w:color="auto" w:fill="1F4E79"/>
          </w:tcPr>
          <w:p>
            <w:r>
              <w:rPr>
                <w:b/>
                <w:color w:val="FFFFFF"/>
              </w:rPr>
              <w:t>n</w:t>
            </w:r>
          </w:p>
        </w:tc>
      </w:tr>
      <w:tr>
        <w:tc>
          <w:tcPr>
            <w:tcW w:type="dxa" w:w="4032"/>
          </w:tcPr>
          <w:p>
            <w:r>
              <w:t>Malaria</w:t>
            </w:r>
          </w:p>
        </w:tc>
        <w:tc>
          <w:tcPr>
            <w:tcW w:type="dxa" w:w="1368"/>
          </w:tcPr>
          <w:p>
            <w:r>
              <w:t>93.7</w:t>
            </w:r>
          </w:p>
        </w:tc>
        <w:tc>
          <w:tcPr>
            <w:tcW w:type="dxa" w:w="1224"/>
          </w:tcPr>
          <w:p>
            <w:r>
              <w:t>98.3</w:t>
            </w:r>
          </w:p>
        </w:tc>
        <w:tc>
          <w:tcPr>
            <w:tcW w:type="dxa" w:w="1080"/>
          </w:tcPr>
          <w:p>
            <w:r>
              <w:t>95.9</w:t>
            </w:r>
          </w:p>
        </w:tc>
        <w:tc>
          <w:tcPr>
            <w:tcW w:type="dxa" w:w="648"/>
          </w:tcPr>
          <w:p>
            <w:r>
              <w:t>348</w:t>
            </w:r>
          </w:p>
        </w:tc>
      </w:tr>
      <w:tr>
        <w:tc>
          <w:tcPr>
            <w:tcW w:type="dxa" w:w="4032"/>
          </w:tcPr>
          <w:p>
            <w:r>
              <w:t>Diarrheal diseases</w:t>
            </w:r>
          </w:p>
        </w:tc>
        <w:tc>
          <w:tcPr>
            <w:tcW w:type="dxa" w:w="1368"/>
          </w:tcPr>
          <w:p>
            <w:r>
              <w:t>88.2</w:t>
            </w:r>
          </w:p>
        </w:tc>
        <w:tc>
          <w:tcPr>
            <w:tcW w:type="dxa" w:w="1224"/>
          </w:tcPr>
          <w:p>
            <w:r>
              <w:t>94.0</w:t>
            </w:r>
          </w:p>
        </w:tc>
        <w:tc>
          <w:tcPr>
            <w:tcW w:type="dxa" w:w="1080"/>
          </w:tcPr>
          <w:p>
            <w:r>
              <w:t>91.0</w:t>
            </w:r>
          </w:p>
        </w:tc>
        <w:tc>
          <w:tcPr>
            <w:tcW w:type="dxa" w:w="648"/>
          </w:tcPr>
          <w:p>
            <w:r>
              <w:t>167</w:t>
            </w:r>
          </w:p>
        </w:tc>
      </w:tr>
      <w:tr>
        <w:tc>
          <w:tcPr>
            <w:tcW w:type="dxa" w:w="4032"/>
          </w:tcPr>
          <w:p>
            <w:r>
              <w:t>HIV/AIDS related death</w:t>
            </w:r>
          </w:p>
        </w:tc>
        <w:tc>
          <w:tcPr>
            <w:tcW w:type="dxa" w:w="1368"/>
          </w:tcPr>
          <w:p>
            <w:r>
              <w:t>99.2</w:t>
            </w:r>
          </w:p>
        </w:tc>
        <w:tc>
          <w:tcPr>
            <w:tcW w:type="dxa" w:w="1224"/>
          </w:tcPr>
          <w:p>
            <w:r>
              <w:t>97.7</w:t>
            </w:r>
          </w:p>
        </w:tc>
        <w:tc>
          <w:tcPr>
            <w:tcW w:type="dxa" w:w="1080"/>
          </w:tcPr>
          <w:p>
            <w:r>
              <w:t>98.4</w:t>
            </w:r>
          </w:p>
        </w:tc>
        <w:tc>
          <w:tcPr>
            <w:tcW w:type="dxa" w:w="648"/>
          </w:tcPr>
          <w:p>
            <w:r>
              <w:t>130</w:t>
            </w:r>
          </w:p>
        </w:tc>
      </w:tr>
      <w:tr>
        <w:tc>
          <w:tcPr>
            <w:tcW w:type="dxa" w:w="4032"/>
          </w:tcPr>
          <w:p>
            <w:r>
              <w:t>Pulmonary tuberculosis</w:t>
            </w:r>
          </w:p>
        </w:tc>
        <w:tc>
          <w:tcPr>
            <w:tcW w:type="dxa" w:w="1368"/>
          </w:tcPr>
          <w:p>
            <w:r>
              <w:t>98.4</w:t>
            </w:r>
          </w:p>
        </w:tc>
        <w:tc>
          <w:tcPr>
            <w:tcW w:type="dxa" w:w="1224"/>
          </w:tcPr>
          <w:p>
            <w:r>
              <w:t>98.4</w:t>
            </w:r>
          </w:p>
        </w:tc>
        <w:tc>
          <w:tcPr>
            <w:tcW w:type="dxa" w:w="1080"/>
          </w:tcPr>
          <w:p>
            <w:r>
              <w:t>98.4</w:t>
            </w:r>
          </w:p>
        </w:tc>
        <w:tc>
          <w:tcPr>
            <w:tcW w:type="dxa" w:w="648"/>
          </w:tcPr>
          <w:p>
            <w:r>
              <w:t>61</w:t>
            </w:r>
          </w:p>
        </w:tc>
      </w:tr>
      <w:tr>
        <w:tc>
          <w:tcPr>
            <w:tcW w:type="dxa" w:w="4032"/>
          </w:tcPr>
          <w:p>
            <w:r>
              <w:t>Neonatal sepsis</w:t>
            </w:r>
          </w:p>
        </w:tc>
        <w:tc>
          <w:tcPr>
            <w:tcW w:type="dxa" w:w="1368"/>
          </w:tcPr>
          <w:p>
            <w:r>
              <w:t>100.0</w:t>
            </w:r>
          </w:p>
        </w:tc>
        <w:tc>
          <w:tcPr>
            <w:tcW w:type="dxa" w:w="1224"/>
          </w:tcPr>
          <w:p>
            <w:r>
              <w:t>100.0</w:t>
            </w:r>
          </w:p>
        </w:tc>
        <w:tc>
          <w:tcPr>
            <w:tcW w:type="dxa" w:w="1080"/>
          </w:tcPr>
          <w:p>
            <w:r>
              <w:t>100.0</w:t>
            </w:r>
          </w:p>
        </w:tc>
        <w:tc>
          <w:tcPr>
            <w:tcW w:type="dxa" w:w="648"/>
          </w:tcPr>
          <w:p>
            <w:r>
              <w:t>61</w:t>
            </w:r>
          </w:p>
        </w:tc>
      </w:tr>
      <w:tr>
        <w:tc>
          <w:tcPr>
            <w:tcW w:type="dxa" w:w="4032"/>
          </w:tcPr>
          <w:p>
            <w:r>
              <w:t>Measles</w:t>
            </w:r>
          </w:p>
        </w:tc>
        <w:tc>
          <w:tcPr>
            <w:tcW w:type="dxa" w:w="1368"/>
          </w:tcPr>
          <w:p>
            <w:r>
              <w:t>91.5</w:t>
            </w:r>
          </w:p>
        </w:tc>
        <w:tc>
          <w:tcPr>
            <w:tcW w:type="dxa" w:w="1224"/>
          </w:tcPr>
          <w:p>
            <w:r>
              <w:t>83.1</w:t>
            </w:r>
          </w:p>
        </w:tc>
        <w:tc>
          <w:tcPr>
            <w:tcW w:type="dxa" w:w="1080"/>
          </w:tcPr>
          <w:p>
            <w:r>
              <w:t>87.1</w:t>
            </w:r>
          </w:p>
        </w:tc>
        <w:tc>
          <w:tcPr>
            <w:tcW w:type="dxa" w:w="648"/>
          </w:tcPr>
          <w:p>
            <w:r>
              <w:t>65</w:t>
            </w:r>
          </w:p>
        </w:tc>
      </w:tr>
      <w:tr>
        <w:tc>
          <w:tcPr>
            <w:tcW w:type="dxa" w:w="4032"/>
          </w:tcPr>
          <w:p>
            <w:r>
              <w:t>Acute respiratory infection / pneumonia</w:t>
            </w:r>
          </w:p>
        </w:tc>
        <w:tc>
          <w:tcPr>
            <w:tcW w:type="dxa" w:w="1368"/>
          </w:tcPr>
          <w:p>
            <w:r>
              <w:t>87.8</w:t>
            </w:r>
          </w:p>
        </w:tc>
        <w:tc>
          <w:tcPr>
            <w:tcW w:type="dxa" w:w="1224"/>
          </w:tcPr>
          <w:p>
            <w:r>
              <w:t>82.3</w:t>
            </w:r>
          </w:p>
        </w:tc>
        <w:tc>
          <w:tcPr>
            <w:tcW w:type="dxa" w:w="1080"/>
          </w:tcPr>
          <w:p>
            <w:r>
              <w:t>85.0</w:t>
            </w:r>
          </w:p>
        </w:tc>
        <w:tc>
          <w:tcPr>
            <w:tcW w:type="dxa" w:w="648"/>
          </w:tcPr>
          <w:p>
            <w:r>
              <w:t>79</w:t>
            </w:r>
          </w:p>
        </w:tc>
      </w:tr>
      <w:tr>
        <w:tc>
          <w:tcPr>
            <w:tcW w:type="dxa" w:w="4032"/>
          </w:tcPr>
          <w:p>
            <w:r>
              <w:t>Sepsis</w:t>
            </w:r>
          </w:p>
        </w:tc>
        <w:tc>
          <w:tcPr>
            <w:tcW w:type="dxa" w:w="1368"/>
          </w:tcPr>
          <w:p>
            <w:r>
              <w:t>97.0</w:t>
            </w:r>
          </w:p>
        </w:tc>
        <w:tc>
          <w:tcPr>
            <w:tcW w:type="dxa" w:w="1224"/>
          </w:tcPr>
          <w:p>
            <w:r>
              <w:t>100.0</w:t>
            </w:r>
          </w:p>
        </w:tc>
        <w:tc>
          <w:tcPr>
            <w:tcW w:type="dxa" w:w="1080"/>
          </w:tcPr>
          <w:p>
            <w:r>
              <w:t>98.5</w:t>
            </w:r>
          </w:p>
        </w:tc>
        <w:tc>
          <w:tcPr>
            <w:tcW w:type="dxa" w:w="648"/>
          </w:tcPr>
          <w:p>
            <w:r>
              <w:t>32</w:t>
            </w:r>
          </w:p>
        </w:tc>
      </w:tr>
      <w:tr>
        <w:tc>
          <w:tcPr>
            <w:tcW w:type="dxa" w:w="4032"/>
          </w:tcPr>
          <w:p>
            <w:r>
              <w:t>Pregnancy-related sepsis</w:t>
            </w:r>
          </w:p>
        </w:tc>
        <w:tc>
          <w:tcPr>
            <w:tcW w:type="dxa" w:w="1368"/>
          </w:tcPr>
          <w:p>
            <w:r>
              <w:t>100.0</w:t>
            </w:r>
          </w:p>
        </w:tc>
        <w:tc>
          <w:tcPr>
            <w:tcW w:type="dxa" w:w="1224"/>
          </w:tcPr>
          <w:p>
            <w:r>
              <w:t>89.3</w:t>
            </w:r>
          </w:p>
        </w:tc>
        <w:tc>
          <w:tcPr>
            <w:tcW w:type="dxa" w:w="1080"/>
          </w:tcPr>
          <w:p>
            <w:r>
              <w:t>94.3</w:t>
            </w:r>
          </w:p>
        </w:tc>
        <w:tc>
          <w:tcPr>
            <w:tcW w:type="dxa" w:w="648"/>
          </w:tcPr>
          <w:p>
            <w:r>
              <w:t>28</w:t>
            </w:r>
          </w:p>
        </w:tc>
      </w:tr>
      <w:tr>
        <w:tc>
          <w:tcPr>
            <w:tcW w:type="dxa" w:w="4032"/>
          </w:tcPr>
          <w:p>
            <w:r>
              <w:t>Diabetes mellitus</w:t>
            </w:r>
          </w:p>
        </w:tc>
        <w:tc>
          <w:tcPr>
            <w:tcW w:type="dxa" w:w="1368"/>
          </w:tcPr>
          <w:p>
            <w:r>
              <w:t>96.6</w:t>
            </w:r>
          </w:p>
        </w:tc>
        <w:tc>
          <w:tcPr>
            <w:tcW w:type="dxa" w:w="1224"/>
          </w:tcPr>
          <w:p>
            <w:r>
              <w:t>93.3</w:t>
            </w:r>
          </w:p>
        </w:tc>
        <w:tc>
          <w:tcPr>
            <w:tcW w:type="dxa" w:w="1080"/>
          </w:tcPr>
          <w:p>
            <w:r>
              <w:t>94.9</w:t>
            </w:r>
          </w:p>
        </w:tc>
        <w:tc>
          <w:tcPr>
            <w:tcW w:type="dxa" w:w="648"/>
          </w:tcPr>
          <w:p>
            <w:r>
              <w:t>30</w:t>
            </w:r>
          </w:p>
        </w:tc>
      </w:tr>
      <w:tr>
        <w:tc>
          <w:tcPr>
            <w:tcW w:type="dxa" w:w="4032"/>
          </w:tcPr>
          <w:p>
            <w:r>
              <w:t>Severe malnutrition</w:t>
            </w:r>
          </w:p>
        </w:tc>
        <w:tc>
          <w:tcPr>
            <w:tcW w:type="dxa" w:w="1368"/>
          </w:tcPr>
          <w:p>
            <w:r>
              <w:t>89.5</w:t>
            </w:r>
          </w:p>
        </w:tc>
        <w:tc>
          <w:tcPr>
            <w:tcW w:type="dxa" w:w="1224"/>
          </w:tcPr>
          <w:p>
            <w:r>
              <w:t>60.7</w:t>
            </w:r>
          </w:p>
        </w:tc>
        <w:tc>
          <w:tcPr>
            <w:tcW w:type="dxa" w:w="1080"/>
          </w:tcPr>
          <w:p>
            <w:r>
              <w:t>72.3</w:t>
            </w:r>
          </w:p>
        </w:tc>
        <w:tc>
          <w:tcPr>
            <w:tcW w:type="dxa" w:w="648"/>
          </w:tcPr>
          <w:p>
            <w:r>
              <w:t>28</w:t>
            </w:r>
          </w:p>
        </w:tc>
      </w:tr>
      <w:tr>
        <w:tc>
          <w:tcPr>
            <w:tcW w:type="dxa" w:w="4032"/>
          </w:tcPr>
          <w:p>
            <w:r>
              <w:t>cluster_external_causes_of_death</w:t>
            </w:r>
          </w:p>
        </w:tc>
        <w:tc>
          <w:tcPr>
            <w:tcW w:type="dxa" w:w="1368"/>
          </w:tcPr>
          <w:p>
            <w:r>
              <w:t>94.7</w:t>
            </w:r>
          </w:p>
        </w:tc>
        <w:tc>
          <w:tcPr>
            <w:tcW w:type="dxa" w:w="1224"/>
          </w:tcPr>
          <w:p>
            <w:r>
              <w:t>98.6</w:t>
            </w:r>
          </w:p>
        </w:tc>
        <w:tc>
          <w:tcPr>
            <w:tcW w:type="dxa" w:w="1080"/>
          </w:tcPr>
          <w:p>
            <w:r>
              <w:t>96.6</w:t>
            </w:r>
          </w:p>
        </w:tc>
        <w:tc>
          <w:tcPr>
            <w:tcW w:type="dxa" w:w="648"/>
          </w:tcPr>
          <w:p>
            <w:r>
              <w:t>73</w:t>
            </w:r>
          </w:p>
        </w:tc>
      </w:tr>
      <w:tr>
        <w:tc>
          <w:tcPr>
            <w:tcW w:type="dxa" w:w="4032"/>
          </w:tcPr>
          <w:p>
            <w:r>
              <w:t>cluster_neonatal_causes_of_death</w:t>
            </w:r>
          </w:p>
        </w:tc>
        <w:tc>
          <w:tcPr>
            <w:tcW w:type="dxa" w:w="1368"/>
          </w:tcPr>
          <w:p>
            <w:r>
              <w:t>100.0</w:t>
            </w:r>
          </w:p>
        </w:tc>
        <w:tc>
          <w:tcPr>
            <w:tcW w:type="dxa" w:w="1224"/>
          </w:tcPr>
          <w:p>
            <w:r>
              <w:t>100.0</w:t>
            </w:r>
          </w:p>
        </w:tc>
        <w:tc>
          <w:tcPr>
            <w:tcW w:type="dxa" w:w="1080"/>
          </w:tcPr>
          <w:p>
            <w:r>
              <w:t>100.0</w:t>
            </w:r>
          </w:p>
        </w:tc>
        <w:tc>
          <w:tcPr>
            <w:tcW w:type="dxa" w:w="648"/>
          </w:tcPr>
          <w:p>
            <w:r>
              <w:t>30</w:t>
            </w:r>
          </w:p>
        </w:tc>
      </w:tr>
      <w:tr>
        <w:tc>
          <w:tcPr>
            <w:tcW w:type="dxa" w:w="4032"/>
          </w:tcPr>
          <w:p>
            <w:r>
              <w:t>cluster_diseases_of_circulatory_sys.</w:t>
            </w:r>
          </w:p>
        </w:tc>
        <w:tc>
          <w:tcPr>
            <w:tcW w:type="dxa" w:w="1368"/>
          </w:tcPr>
          <w:p>
            <w:r>
              <w:t>91.1</w:t>
            </w:r>
          </w:p>
        </w:tc>
        <w:tc>
          <w:tcPr>
            <w:tcW w:type="dxa" w:w="1224"/>
          </w:tcPr>
          <w:p>
            <w:r>
              <w:t>87.2</w:t>
            </w:r>
          </w:p>
        </w:tc>
        <w:tc>
          <w:tcPr>
            <w:tcW w:type="dxa" w:w="1080"/>
          </w:tcPr>
          <w:p>
            <w:r>
              <w:t>89.1</w:t>
            </w:r>
          </w:p>
        </w:tc>
        <w:tc>
          <w:tcPr>
            <w:tcW w:type="dxa" w:w="648"/>
          </w:tcPr>
          <w:p>
            <w:r>
              <w:t>47</w:t>
            </w:r>
          </w:p>
        </w:tc>
      </w:tr>
      <w:tr>
        <w:tc>
          <w:tcPr>
            <w:tcW w:type="dxa" w:w="4032"/>
          </w:tcPr>
          <w:p>
            <w:r>
              <w:t>cluster_pregnancy / puerperium</w:t>
            </w:r>
          </w:p>
        </w:tc>
        <w:tc>
          <w:tcPr>
            <w:tcW w:type="dxa" w:w="1368"/>
          </w:tcPr>
          <w:p>
            <w:r>
              <w:t>88.2</w:t>
            </w:r>
          </w:p>
        </w:tc>
        <w:tc>
          <w:tcPr>
            <w:tcW w:type="dxa" w:w="1224"/>
          </w:tcPr>
          <w:p>
            <w:r>
              <w:t>100.0</w:t>
            </w:r>
          </w:p>
        </w:tc>
        <w:tc>
          <w:tcPr>
            <w:tcW w:type="dxa" w:w="1080"/>
          </w:tcPr>
          <w:p>
            <w:r>
              <w:t>93.8</w:t>
            </w:r>
          </w:p>
        </w:tc>
        <w:tc>
          <w:tcPr>
            <w:tcW w:type="dxa" w:w="648"/>
          </w:tcPr>
          <w:p>
            <w:r>
              <w:t>30</w:t>
            </w:r>
          </w:p>
        </w:tc>
      </w:tr>
      <w:tr>
        <w:tc>
          <w:tcPr>
            <w:tcW w:type="dxa" w:w="4032"/>
          </w:tcPr>
          <w:p>
            <w:r>
              <w:t>cluster_neoplasms</w:t>
            </w:r>
          </w:p>
        </w:tc>
        <w:tc>
          <w:tcPr>
            <w:tcW w:type="dxa" w:w="1368"/>
          </w:tcPr>
          <w:p>
            <w:r>
              <w:t>100.0</w:t>
            </w:r>
          </w:p>
        </w:tc>
        <w:tc>
          <w:tcPr>
            <w:tcW w:type="dxa" w:w="1224"/>
          </w:tcPr>
          <w:p>
            <w:r>
              <w:t>91.3</w:t>
            </w:r>
          </w:p>
        </w:tc>
        <w:tc>
          <w:tcPr>
            <w:tcW w:type="dxa" w:w="1080"/>
          </w:tcPr>
          <w:p>
            <w:r>
              <w:t>95.5</w:t>
            </w:r>
          </w:p>
        </w:tc>
        <w:tc>
          <w:tcPr>
            <w:tcW w:type="dxa" w:w="648"/>
          </w:tcPr>
          <w:p>
            <w:r>
              <w:t>23</w:t>
            </w:r>
          </w:p>
        </w:tc>
      </w:tr>
      <w:tr>
        <w:tc>
          <w:tcPr>
            <w:tcW w:type="dxa" w:w="4032"/>
          </w:tcPr>
          <w:p>
            <w:r>
              <w:t>cluster_gastrointestinal_disorders</w:t>
            </w:r>
          </w:p>
        </w:tc>
        <w:tc>
          <w:tcPr>
            <w:tcW w:type="dxa" w:w="1368"/>
          </w:tcPr>
          <w:p>
            <w:r>
              <w:t>95.7</w:t>
            </w:r>
          </w:p>
        </w:tc>
        <w:tc>
          <w:tcPr>
            <w:tcW w:type="dxa" w:w="1224"/>
          </w:tcPr>
          <w:p>
            <w:r>
              <w:t>100.0</w:t>
            </w:r>
          </w:p>
        </w:tc>
        <w:tc>
          <w:tcPr>
            <w:tcW w:type="dxa" w:w="1080"/>
          </w:tcPr>
          <w:p>
            <w:r>
              <w:t>97.8</w:t>
            </w:r>
          </w:p>
        </w:tc>
        <w:tc>
          <w:tcPr>
            <w:tcW w:type="dxa" w:w="648"/>
          </w:tcPr>
          <w:p>
            <w:r>
              <w:t>22</w:t>
            </w:r>
          </w:p>
        </w:tc>
      </w:tr>
      <w:tr>
        <w:tc>
          <w:tcPr>
            <w:tcW w:type="dxa" w:w="4032"/>
          </w:tcPr>
          <w:p>
            <w:r>
              <w:t>cluster_respiratory_disorders</w:t>
            </w:r>
          </w:p>
        </w:tc>
        <w:tc>
          <w:tcPr>
            <w:tcW w:type="dxa" w:w="1368"/>
          </w:tcPr>
          <w:p>
            <w:r>
              <w:t>100.0</w:t>
            </w:r>
          </w:p>
        </w:tc>
        <w:tc>
          <w:tcPr>
            <w:tcW w:type="dxa" w:w="1224"/>
          </w:tcPr>
          <w:p>
            <w:r>
              <w:t>94.7</w:t>
            </w:r>
          </w:p>
        </w:tc>
        <w:tc>
          <w:tcPr>
            <w:tcW w:type="dxa" w:w="1080"/>
          </w:tcPr>
          <w:p>
            <w:r>
              <w:t>97.3</w:t>
            </w:r>
          </w:p>
        </w:tc>
        <w:tc>
          <w:tcPr>
            <w:tcW w:type="dxa" w:w="648"/>
          </w:tcPr>
          <w:p>
            <w:r>
              <w:t>19</w:t>
            </w:r>
          </w:p>
        </w:tc>
      </w:tr>
      <w:tr>
        <w:tc>
          <w:tcPr>
            <w:tcW w:type="dxa" w:w="4032"/>
          </w:tcPr>
          <w:p>
            <w:r>
              <w:t>cluster_mental / nervous system</w:t>
            </w:r>
          </w:p>
        </w:tc>
        <w:tc>
          <w:tcPr>
            <w:tcW w:type="dxa" w:w="1368"/>
          </w:tcPr>
          <w:p>
            <w:r>
              <w:t>93.8</w:t>
            </w:r>
          </w:p>
        </w:tc>
        <w:tc>
          <w:tcPr>
            <w:tcW w:type="dxa" w:w="1224"/>
          </w:tcPr>
          <w:p>
            <w:r>
              <w:t>88.2</w:t>
            </w:r>
          </w:p>
        </w:tc>
        <w:tc>
          <w:tcPr>
            <w:tcW w:type="dxa" w:w="1080"/>
          </w:tcPr>
          <w:p>
            <w:r>
              <w:t>90.9</w:t>
            </w:r>
          </w:p>
        </w:tc>
        <w:tc>
          <w:tcPr>
            <w:tcW w:type="dxa" w:w="648"/>
          </w:tcPr>
          <w:p>
            <w:r>
              <w:t>17</w:t>
            </w:r>
          </w:p>
        </w:tc>
      </w:tr>
      <w:tr>
        <w:tc>
          <w:tcPr>
            <w:tcW w:type="dxa" w:w="4032"/>
          </w:tcPr>
          <w:p>
            <w:r>
              <w:t>cluster_renal_disorders</w:t>
            </w:r>
          </w:p>
        </w:tc>
        <w:tc>
          <w:tcPr>
            <w:tcW w:type="dxa" w:w="1368"/>
          </w:tcPr>
          <w:p>
            <w:r>
              <w:t>93.3</w:t>
            </w:r>
          </w:p>
        </w:tc>
        <w:tc>
          <w:tcPr>
            <w:tcW w:type="dxa" w:w="1224"/>
          </w:tcPr>
          <w:p>
            <w:r>
              <w:t>100.0</w:t>
            </w:r>
          </w:p>
        </w:tc>
        <w:tc>
          <w:tcPr>
            <w:tcW w:type="dxa" w:w="1080"/>
          </w:tcPr>
          <w:p>
            <w:r>
              <w:t>96.6</w:t>
            </w:r>
          </w:p>
        </w:tc>
        <w:tc>
          <w:tcPr>
            <w:tcW w:type="dxa" w:w="648"/>
          </w:tcPr>
          <w:p>
            <w:r>
              <w:t>14</w:t>
            </w:r>
          </w:p>
        </w:tc>
      </w:tr>
      <w:tr>
        <w:tc>
          <w:tcPr>
            <w:tcW w:type="dxa" w:w="4032"/>
          </w:tcPr>
          <w:p>
            <w:r>
              <w:t>cluster_stillbirths</w:t>
            </w:r>
          </w:p>
        </w:tc>
        <w:tc>
          <w:tcPr>
            <w:tcW w:type="dxa" w:w="1368"/>
          </w:tcPr>
          <w:p>
            <w:r>
              <w:t>100.0</w:t>
            </w:r>
          </w:p>
        </w:tc>
        <w:tc>
          <w:tcPr>
            <w:tcW w:type="dxa" w:w="1224"/>
          </w:tcPr>
          <w:p>
            <w:r>
              <w:t>100.0</w:t>
            </w:r>
          </w:p>
        </w:tc>
        <w:tc>
          <w:tcPr>
            <w:tcW w:type="dxa" w:w="1080"/>
          </w:tcPr>
          <w:p>
            <w:r>
              <w:t>100.0</w:t>
            </w:r>
          </w:p>
        </w:tc>
        <w:tc>
          <w:tcPr>
            <w:tcW w:type="dxa" w:w="648"/>
          </w:tcPr>
          <w:p>
            <w:r>
              <w:t>4</w:t>
            </w:r>
          </w:p>
        </w:tc>
      </w:tr>
      <w:tr>
        <w:tc>
          <w:tcPr>
            <w:tcW w:type="dxa" w:w="4032"/>
          </w:tcPr>
          <w:p>
            <w:r>
              <w:t>cluster_nutritional / endocrine</w:t>
            </w:r>
          </w:p>
        </w:tc>
        <w:tc>
          <w:tcPr>
            <w:tcW w:type="dxa" w:w="1368"/>
          </w:tcPr>
          <w:p>
            <w:r>
              <w:t>83.3</w:t>
            </w:r>
          </w:p>
        </w:tc>
        <w:tc>
          <w:tcPr>
            <w:tcW w:type="dxa" w:w="1224"/>
          </w:tcPr>
          <w:p>
            <w:r>
              <w:t>100.0</w:t>
            </w:r>
          </w:p>
        </w:tc>
        <w:tc>
          <w:tcPr>
            <w:tcW w:type="dxa" w:w="1080"/>
          </w:tcPr>
          <w:p>
            <w:r>
              <w:t>90.9</w:t>
            </w:r>
          </w:p>
        </w:tc>
        <w:tc>
          <w:tcPr>
            <w:tcW w:type="dxa" w:w="648"/>
          </w:tcPr>
          <w:p>
            <w:r>
              <w:t>5</w:t>
            </w:r>
          </w:p>
        </w:tc>
      </w:tr>
      <w:tr>
        <w:tc>
          <w:tcPr>
            <w:tcW w:type="dxa" w:w="4032"/>
          </w:tcPr>
          <w:p>
            <w:r>
              <w:t>cluster_infectious / parasitic</w:t>
            </w:r>
          </w:p>
        </w:tc>
        <w:tc>
          <w:tcPr>
            <w:tcW w:type="dxa" w:w="1368"/>
          </w:tcPr>
          <w:p>
            <w:r>
              <w:t>75.0</w:t>
            </w:r>
          </w:p>
        </w:tc>
        <w:tc>
          <w:tcPr>
            <w:tcW w:type="dxa" w:w="1224"/>
          </w:tcPr>
          <w:p>
            <w:r>
              <w:t>47.4</w:t>
            </w:r>
          </w:p>
        </w:tc>
        <w:tc>
          <w:tcPr>
            <w:tcW w:type="dxa" w:w="1080"/>
          </w:tcPr>
          <w:p>
            <w:r>
              <w:t>58.1</w:t>
            </w:r>
          </w:p>
        </w:tc>
        <w:tc>
          <w:tcPr>
            <w:tcW w:type="dxa" w:w="648"/>
          </w:tcPr>
          <w:p>
            <w:r>
              <w:t>19</w:t>
            </w:r>
          </w:p>
        </w:tc>
      </w:tr>
    </w:tbl>
    <w:p/>
    <w:p>
      <w:r>
        <w:rPr>
          <w:b w:val="0"/>
          <w:i w:val="0"/>
        </w:rPr>
        <w:t>Notable findings: High-prevalence causes (Malaria, Diarrheal diseases, HIV/AIDS) achieve F1 scores above 90 %. Several low-prevalence cluster categories achieve perfect or near-perfect scores. The weakest performance is on 'cluster_infectious_and_parasitic_diseases' (F1 58.1 %), reflecting the inherent heterogeneity of this residual category and the small training sample size (62 records). This is a priority area for the proposed studentship.</w:t>
      </w:r>
    </w:p>
    <w:p>
      <w:pPr>
        <w:pStyle w:val="Heading2"/>
      </w:pPr>
      <w:r>
        <w:t>3.3 Confidence and Uncertainty Quantification</w:t>
      </w:r>
    </w:p>
    <w:p>
      <w:r>
        <w:rPr>
          <w:b w:val="0"/>
          <w:i w:val="0"/>
        </w:rPr>
        <w:t>The system provides richer uncertainty information than a simple predicted class:</w:t>
      </w:r>
    </w:p>
    <w:p>
      <w:pPr>
        <w:pStyle w:val="ListBullet"/>
        <w:ind w:left="340"/>
      </w:pPr>
      <w:r>
        <w:t>Prediction probability: the model's top-class posterior probability.</w:t>
      </w:r>
    </w:p>
    <w:p>
      <w:pPr>
        <w:pStyle w:val="ListBullet"/>
        <w:ind w:left="340"/>
      </w:pPr>
      <w:r>
        <w:t>Wilson score 95 % confidence interval: calibrated to the number of training examples for the predicted class. Rarer classes receive wider intervals.</w:t>
      </w:r>
    </w:p>
    <w:p>
      <w:pPr>
        <w:pStyle w:val="ListBullet"/>
        <w:ind w:left="340"/>
      </w:pPr>
      <w:r>
        <w:t>Normalised Shannon entropy: measures how spread the probability mass is across all 23 classes (0 = certain, 1 = maximally uncertain). Used as the primary out-of-distribution signal.</w:t>
      </w:r>
    </w:p>
    <w:p>
      <w:pPr>
        <w:pStyle w:val="ListBullet"/>
        <w:ind w:left="340"/>
      </w:pPr>
      <w:r>
        <w:t>Runner-up prediction: the second most probable cause, useful for flagging clinically ambiguous cases.</w:t>
      </w:r>
    </w:p>
    <w:p>
      <w:pPr>
        <w:pStyle w:val="ListBullet"/>
        <w:ind w:left="340"/>
      </w:pPr>
      <w:r>
        <w:t>Prediction margin: P(top-1) − P(top-2), a direct measure of decision confidence.</w:t>
      </w:r>
    </w:p>
    <w:p>
      <w:pPr>
        <w:pStyle w:val="ListBullet"/>
        <w:ind w:left="340"/>
      </w:pPr>
      <w:r>
        <w:t>Human-readable prediction notes: a SHAP-derived summary of the top contributing symptoms with their direction (increasing or decreasing probability), including a narrative contribution statement when the NLP block was decisive.</w:t>
      </w:r>
    </w:p>
    <w:p>
      <w:r>
        <w:br w:type="page"/>
      </w:r>
    </w:p>
    <w:p>
      <w:pPr>
        <w:pStyle w:val="Heading1"/>
      </w:pPr>
      <w:r>
        <w:t>4. Current Limitations</w:t>
      </w:r>
    </w:p>
    <w:p>
      <w:r>
        <w:rPr>
          <w:b w:val="0"/>
          <w:i w:val="0"/>
        </w:rPr>
        <w:t>The current system, while achieving strong performance on its training populations, has several limitations that the proposed studentship would address:</w:t>
      </w:r>
    </w:p>
    <w:p/>
    <w:p>
      <w:pPr>
        <w:pStyle w:val="ListBullet"/>
        <w:ind w:left="340"/>
      </w:pPr>
      <w:r>
        <w:t>Limited training data: 4,259 records is modest for a 23-class problem. Several important cause categories have fewer than 100 training examples, limiting the model's ability to learn discriminative patterns.</w:t>
      </w:r>
    </w:p>
    <w:p>
      <w:pPr>
        <w:pStyle w:val="ListBullet"/>
        <w:ind w:left="340"/>
      </w:pPr>
      <w:r>
        <w:t>Class imbalance: Malaria alone accounts for 26.1 % of training records. Causes such as cluster_stillbirths (0.3 %) are severely under-represented, leading to high-variance performance estimates on these rare classes.</w:t>
      </w:r>
    </w:p>
    <w:p>
      <w:pPr>
        <w:pStyle w:val="ListBullet"/>
        <w:ind w:left="340"/>
      </w:pPr>
      <w:r>
        <w:t>Geographic scope: Training data comes from three countries. Generalisability to other populations (e.g., South Asia, Central Africa) has not been validated.</w:t>
      </w:r>
    </w:p>
    <w:p>
      <w:pPr>
        <w:pStyle w:val="ListBullet"/>
        <w:ind w:left="340"/>
      </w:pPr>
      <w:r>
        <w:t>Probabilistic calibration: Tree-based models are known to produce miscalibrated probability estimates. The stated confidence intervals are Wilson-score approximations rather than true posterior probabilities.</w:t>
      </w:r>
    </w:p>
    <w:p>
      <w:pPr>
        <w:pStyle w:val="ListBullet"/>
        <w:ind w:left="340"/>
      </w:pPr>
      <w:r>
        <w:t>Narrative embedding quality: The 384-dimensional sentence-transformer embedding is efficient but represents a compression of the full semantic content. Larger transformer architectures (e.g., multilingual BERT, BiomedBERT) could extract richer clinical representations.</w:t>
      </w:r>
    </w:p>
    <w:p>
      <w:pPr>
        <w:pStyle w:val="ListBullet"/>
        <w:ind w:left="340"/>
      </w:pPr>
      <w:r>
        <w:t>No active learning: The system does not identify which unlabelled records would be most informative to label, limiting efficient use of scarce physician annotation time.</w:t>
      </w:r>
    </w:p>
    <w:p>
      <w:pPr>
        <w:pStyle w:val="ListBullet"/>
        <w:ind w:left="340"/>
      </w:pPr>
      <w:r>
        <w:t>No deployment as a service: Currently, the system runs as a command-line tool. There is no web-accessible API that institutions could use to submit VA records and receive predictions.</w:t>
      </w:r>
    </w:p>
    <w:p>
      <w:pPr>
        <w:pStyle w:val="Heading1"/>
      </w:pPr>
      <w:r>
        <w:t>5. Proposed Work (with Funding)</w:t>
      </w:r>
    </w:p>
    <w:p>
      <w:r>
        <w:rPr>
          <w:b w:val="0"/>
          <w:i w:val="0"/>
        </w:rPr>
        <w:t>With Masters-level funding, the following research and development agenda would be pursued over 18–24 months. Each item is ordered by expected impact and feasibility within the studentship timeframe.</w:t>
      </w:r>
    </w:p>
    <w:p>
      <w:pPr>
        <w:pStyle w:val="Heading2"/>
      </w:pPr>
      <w:r>
        <w:t>5.1 Advanced NLP for Narrative Text</w:t>
      </w:r>
    </w:p>
    <w:p>
      <w:r>
        <w:rPr>
          <w:b w:val="0"/>
          <w:i w:val="0"/>
        </w:rPr>
        <w:t>The current MiniLM sentence-transformer (12-layer, 384 dimensions) is a strong baseline but was not trained on clinical or low-resource language data. The student would investigate and benchmark:</w:t>
      </w:r>
    </w:p>
    <w:p>
      <w:pPr>
        <w:pStyle w:val="ListBullet"/>
        <w:ind w:left="680"/>
      </w:pPr>
      <w:r>
        <w:t>Multilingual clinical BERT fine-tuning: Adapt a larger pre-trained model (e.g., XLM-RoBERTa, Multilingual BERT) using clinical corpora from the WHO ICD-10 cause descriptions and existing labelled VA datasets. Fine-tuning would take ~3–5 days on a GPU cluster but could substantially improve the semantic representation quality for medical language.</w:t>
      </w:r>
    </w:p>
    <w:p>
      <w:pPr>
        <w:pStyle w:val="ListBullet"/>
        <w:ind w:left="680"/>
      </w:pPr>
      <w:r>
        <w:t>Retrieval-augmented generation (RAG): Rather than embedding-then-classify, use the narrative to retrieve similar historical VA records and use their physician labels as soft evidence in a nearest-neighbour ensemble.</w:t>
      </w:r>
    </w:p>
    <w:p>
      <w:pPr>
        <w:pStyle w:val="ListBullet"/>
        <w:ind w:left="680"/>
      </w:pPr>
      <w:r>
        <w:t>LLM zero-shot and few-shot classification: Test whether a prompted large language model (e.g., Claude, GPT-4) can assign cause of death directly from the narrative without any task-specific training, establishing an upper-bound benchmark for the NLP component.</w:t>
      </w:r>
    </w:p>
    <w:p>
      <w:pPr>
        <w:pStyle w:val="Heading2"/>
      </w:pPr>
      <w:r>
        <w:t>5.2 Probabilistic Calibration</w:t>
      </w:r>
    </w:p>
    <w:p>
      <w:r>
        <w:rPr>
          <w:b w:val="0"/>
          <w:i w:val="0"/>
        </w:rPr>
        <w:t>Tree ensembles are well-known to produce over-confident probability estimates. The student would implement and compare:</w:t>
      </w:r>
    </w:p>
    <w:p>
      <w:pPr>
        <w:pStyle w:val="ListBullet"/>
        <w:ind w:left="680"/>
      </w:pPr>
      <w:r>
        <w:t>Temperature scaling and Platt scaling post-processing.</w:t>
      </w:r>
    </w:p>
    <w:p>
      <w:pPr>
        <w:pStyle w:val="ListBullet"/>
        <w:ind w:left="680"/>
      </w:pPr>
      <w:r>
        <w:t>Isotonic regression calibration (sklearn CalibratedClassifierCV).</w:t>
      </w:r>
    </w:p>
    <w:p>
      <w:pPr>
        <w:pStyle w:val="ListBullet"/>
        <w:ind w:left="680"/>
      </w:pPr>
      <w:r>
        <w:t>Conformal prediction intervals: distribution-free coverage guarantees that the true cause is contained in the predicted set with at least 1−α probability — a particularly meaningful property for clinical decision support.</w:t>
      </w:r>
    </w:p>
    <w:p>
      <w:pPr>
        <w:pStyle w:val="ListBullet"/>
        <w:ind w:left="680"/>
      </w:pPr>
      <w:r>
        <w:t>Calibration evaluation via Expected Calibration Error (ECE) and reliability diagrams.</w:t>
      </w:r>
    </w:p>
    <w:p>
      <w:pPr>
        <w:pStyle w:val="Heading2"/>
      </w:pPr>
      <w:r>
        <w:t>5.3 Multi-Site Validation and Transfer Learning</w:t>
      </w:r>
    </w:p>
    <w:p>
      <w:r>
        <w:rPr>
          <w:b w:val="0"/>
          <w:i w:val="0"/>
        </w:rPr>
        <w:t>Partnering with VA data repositories (e.g., WHO SAGE, IHME CHAMPS, INDEPTH Network), the student would:</w:t>
      </w:r>
    </w:p>
    <w:p>
      <w:pPr>
        <w:pStyle w:val="ListBullet"/>
        <w:ind w:left="680"/>
      </w:pPr>
      <w:r>
        <w:t>Validate current model performance on held-out populations not represented in training (e.g., South Asia, West Africa).</w:t>
      </w:r>
    </w:p>
    <w:p>
      <w:pPr>
        <w:pStyle w:val="ListBullet"/>
        <w:ind w:left="680"/>
      </w:pPr>
      <w:r>
        <w:t>Investigate domain adaptation: fine-tuning the model on a small number of labelled records from a new site while retaining knowledge from the full multi-site pre-training.</w:t>
      </w:r>
    </w:p>
    <w:p>
      <w:pPr>
        <w:pStyle w:val="ListBullet"/>
        <w:ind w:left="680"/>
      </w:pPr>
      <w:r>
        <w:t>Quantify and report geographic performance variability as part of a prospective deployment evaluation framework.</w:t>
      </w:r>
    </w:p>
    <w:p>
      <w:pPr>
        <w:pStyle w:val="Heading2"/>
      </w:pPr>
      <w:r>
        <w:t>5.4 Active Learning and Data Efficiency</w:t>
      </w:r>
    </w:p>
    <w:p>
      <w:r>
        <w:rPr>
          <w:b w:val="0"/>
          <w:i w:val="0"/>
        </w:rPr>
        <w:t>Given the high cost of physician annotation, the student would implement a query-by-committee active learning loop:</w:t>
      </w:r>
    </w:p>
    <w:p>
      <w:pPr>
        <w:pStyle w:val="ListBullet"/>
        <w:ind w:left="680"/>
      </w:pPr>
      <w:r>
        <w:t>Use entropy, Bayesian model disagreement, or margin sampling to select the most informative unlabelled VA records for physician review.</w:t>
      </w:r>
    </w:p>
    <w:p>
      <w:pPr>
        <w:pStyle w:val="ListBullet"/>
        <w:ind w:left="680"/>
      </w:pPr>
      <w:r>
        <w:t>Empirically quantify the annotation efficiency gain: how much performance improvement is achieved per physician-review hour relative to random sampling?</w:t>
      </w:r>
    </w:p>
    <w:p>
      <w:pPr>
        <w:pStyle w:val="Heading2"/>
      </w:pPr>
      <w:r>
        <w:t>5.5 Fairness and Bias Analysis</w:t>
      </w:r>
    </w:p>
    <w:p>
      <w:r>
        <w:rPr>
          <w:b w:val="0"/>
          <w:i w:val="0"/>
        </w:rPr>
        <w:t>Cause-of-death classification equity across age groups, sex, and geographic settings is ethically critical. The student would:</w:t>
      </w:r>
    </w:p>
    <w:p>
      <w:pPr>
        <w:pStyle w:val="ListBullet"/>
        <w:ind w:left="680"/>
      </w:pPr>
      <w:r>
        <w:t>Conduct stratified performance analysis by age group (neonatal, child, adult, elderly), sex, and site.</w:t>
      </w:r>
    </w:p>
    <w:p>
      <w:pPr>
        <w:pStyle w:val="ListBullet"/>
        <w:ind w:left="680"/>
      </w:pPr>
      <w:r>
        <w:t>Apply fairness-aware re-weighting or post-processing techniques if significant disparities are detected.</w:t>
      </w:r>
    </w:p>
    <w:p>
      <w:pPr>
        <w:pStyle w:val="ListBullet"/>
        <w:ind w:left="680"/>
      </w:pPr>
      <w:r>
        <w:t>Produce a Fairness and Equity Report as a deliverable for potential public health agency adoption.</w:t>
      </w:r>
    </w:p>
    <w:p>
      <w:pPr>
        <w:pStyle w:val="Heading2"/>
      </w:pPr>
      <w:r>
        <w:t>5.6 Service-Oriented Architecture and Web Deployment</w:t>
      </w:r>
    </w:p>
    <w:p>
      <w:r>
        <w:rPr>
          <w:b w:val="0"/>
          <w:i w:val="0"/>
        </w:rPr>
        <w:t>A central objective of the studentship is to transition the pipeline from a command-line research tool to a publicly accessible service that epidemiologists and public health professionals can use interactively. The proposed architecture follows a microservices / service-oriented architecture (SOA) pattern:</w:t>
      </w:r>
    </w:p>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4E79"/>
          </w:tcPr>
          <w:p>
            <w:r>
              <w:rPr>
                <w:b/>
                <w:color w:val="FFFFFF"/>
              </w:rPr>
              <w:t>Layer</w:t>
            </w:r>
          </w:p>
        </w:tc>
        <w:tc>
          <w:tcPr>
            <w:tcW w:type="dxa" w:w="3168"/>
            <w:shd w:val="clear" w:color="auto" w:fill="1F4E79"/>
          </w:tcPr>
          <w:p>
            <w:r>
              <w:rPr>
                <w:b/>
                <w:color w:val="FFFFFF"/>
              </w:rPr>
              <w:t>Component</w:t>
            </w:r>
          </w:p>
        </w:tc>
        <w:tc>
          <w:tcPr>
            <w:tcW w:type="dxa" w:w="3456"/>
            <w:shd w:val="clear" w:color="auto" w:fill="1F4E79"/>
          </w:tcPr>
          <w:p>
            <w:r>
              <w:rPr>
                <w:b/>
                <w:color w:val="FFFFFF"/>
              </w:rPr>
              <w:t>Technology / Standards</w:t>
            </w:r>
          </w:p>
        </w:tc>
      </w:tr>
      <w:tr>
        <w:tc>
          <w:tcPr>
            <w:tcW w:type="dxa" w:w="1728"/>
          </w:tcPr>
          <w:p>
            <w:r>
              <w:t>Ingestion</w:t>
            </w:r>
          </w:p>
        </w:tc>
        <w:tc>
          <w:tcPr>
            <w:tcW w:type="dxa" w:w="3168"/>
          </w:tcPr>
          <w:p>
            <w:r>
              <w:t>CSV / REDCap / ODK API intake</w:t>
            </w:r>
          </w:p>
        </w:tc>
        <w:tc>
          <w:tcPr>
            <w:tcW w:type="dxa" w:w="3456"/>
          </w:tcPr>
          <w:p>
            <w:r>
              <w:t>REST API, OpenAPI 3.0</w:t>
            </w:r>
          </w:p>
        </w:tc>
      </w:tr>
      <w:tr>
        <w:tc>
          <w:tcPr>
            <w:tcW w:type="dxa" w:w="1728"/>
          </w:tcPr>
          <w:p>
            <w:r>
              <w:t>Processing</w:t>
            </w:r>
          </w:p>
        </w:tc>
        <w:tc>
          <w:tcPr>
            <w:tcW w:type="dxa" w:w="3168"/>
          </w:tcPr>
          <w:p>
            <w:r>
              <w:t>Preprocessing &amp; embedding microservice</w:t>
            </w:r>
          </w:p>
        </w:tc>
        <w:tc>
          <w:tcPr>
            <w:tcW w:type="dxa" w:w="3456"/>
          </w:tcPr>
          <w:p>
            <w:r>
              <w:t>Python FastAPI, Docker</w:t>
            </w:r>
          </w:p>
        </w:tc>
      </w:tr>
      <w:tr>
        <w:tc>
          <w:tcPr>
            <w:tcW w:type="dxa" w:w="1728"/>
          </w:tcPr>
          <w:p>
            <w:r>
              <w:t>Inference</w:t>
            </w:r>
          </w:p>
        </w:tc>
        <w:tc>
          <w:tcPr>
            <w:tcW w:type="dxa" w:w="3168"/>
          </w:tcPr>
          <w:p>
            <w:r>
              <w:t>Model serving container</w:t>
            </w:r>
          </w:p>
        </w:tc>
        <w:tc>
          <w:tcPr>
            <w:tcW w:type="dxa" w:w="3456"/>
          </w:tcPr>
          <w:p>
            <w:r>
              <w:t>BentoML / TorchServe, ONNX</w:t>
            </w:r>
          </w:p>
        </w:tc>
      </w:tr>
      <w:tr>
        <w:tc>
          <w:tcPr>
            <w:tcW w:type="dxa" w:w="1728"/>
          </w:tcPr>
          <w:p>
            <w:r>
              <w:t>Output</w:t>
            </w:r>
          </w:p>
        </w:tc>
        <w:tc>
          <w:tcPr>
            <w:tcW w:type="dxa" w:w="3168"/>
          </w:tcPr>
          <w:p>
            <w:r>
              <w:t>Prediction + confidence report</w:t>
            </w:r>
          </w:p>
        </w:tc>
        <w:tc>
          <w:tcPr>
            <w:tcW w:type="dxa" w:w="3456"/>
          </w:tcPr>
          <w:p>
            <w:r>
              <w:t>JSON response, PDF export</w:t>
            </w:r>
          </w:p>
        </w:tc>
      </w:tr>
      <w:tr>
        <w:tc>
          <w:tcPr>
            <w:tcW w:type="dxa" w:w="1728"/>
          </w:tcPr>
          <w:p>
            <w:r>
              <w:t>Frontend</w:t>
            </w:r>
          </w:p>
        </w:tc>
        <w:tc>
          <w:tcPr>
            <w:tcW w:type="dxa" w:w="3168"/>
          </w:tcPr>
          <w:p>
            <w:r>
              <w:t>Interactive web interface</w:t>
            </w:r>
          </w:p>
        </w:tc>
        <w:tc>
          <w:tcPr>
            <w:tcW w:type="dxa" w:w="3456"/>
          </w:tcPr>
          <w:p>
            <w:r>
              <w:t>React / Streamlit, HTTPS</w:t>
            </w:r>
          </w:p>
        </w:tc>
      </w:tr>
      <w:tr>
        <w:tc>
          <w:tcPr>
            <w:tcW w:type="dxa" w:w="1728"/>
          </w:tcPr>
          <w:p>
            <w:r>
              <w:t>Monitoring</w:t>
            </w:r>
          </w:p>
        </w:tc>
        <w:tc>
          <w:tcPr>
            <w:tcW w:type="dxa" w:w="3168"/>
          </w:tcPr>
          <w:p>
            <w:r>
              <w:t>Model drift &amp; confidence monitoring</w:t>
            </w:r>
          </w:p>
        </w:tc>
        <w:tc>
          <w:tcPr>
            <w:tcW w:type="dxa" w:w="3456"/>
          </w:tcPr>
          <w:p>
            <w:r>
              <w:t>Prometheus, Grafana</w:t>
            </w:r>
          </w:p>
        </w:tc>
      </w:tr>
      <w:tr>
        <w:tc>
          <w:tcPr>
            <w:tcW w:type="dxa" w:w="1728"/>
          </w:tcPr>
          <w:p>
            <w:r>
              <w:t>Security</w:t>
            </w:r>
          </w:p>
        </w:tc>
        <w:tc>
          <w:tcPr>
            <w:tcW w:type="dxa" w:w="3168"/>
          </w:tcPr>
          <w:p>
            <w:r>
              <w:t>Authentication &amp; data privacy</w:t>
            </w:r>
          </w:p>
        </w:tc>
        <w:tc>
          <w:tcPr>
            <w:tcW w:type="dxa" w:w="3456"/>
          </w:tcPr>
          <w:p>
            <w:r>
              <w:t>OAuth2, data-at-rest encryption</w:t>
            </w:r>
          </w:p>
        </w:tc>
      </w:tr>
    </w:tbl>
    <w:p/>
    <w:p>
      <w:r>
        <w:rPr>
          <w:b w:val="0"/>
          <w:i w:val="0"/>
        </w:rPr>
        <w:t>The web service would allow public health researchers to:</w:t>
      </w:r>
    </w:p>
    <w:p>
      <w:pPr>
        <w:pStyle w:val="ListBullet"/>
        <w:ind w:left="340"/>
      </w:pPr>
      <w:r>
        <w:t>Upload a VA survey CSV file (WHO VA 2016 or 2022 format) and receive cause-of-death predictions for every record within seconds.</w:t>
      </w:r>
    </w:p>
    <w:p>
      <w:pPr>
        <w:pStyle w:val="ListBullet"/>
        <w:ind w:left="340"/>
      </w:pPr>
      <w:r>
        <w:t>View per-record prediction confidence, entropy, Wilson intervals, and SHAP-derived symptom contribution notes.</w:t>
      </w:r>
    </w:p>
    <w:p>
      <w:pPr>
        <w:pStyle w:val="ListBullet"/>
        <w:ind w:left="340"/>
      </w:pPr>
      <w:r>
        <w:t>Flag low-confidence predictions for physician review, with a built-in annotation interface feeding back into active learning.</w:t>
      </w:r>
    </w:p>
    <w:p>
      <w:pPr>
        <w:pStyle w:val="ListBullet"/>
        <w:ind w:left="340"/>
      </w:pPr>
      <w:r>
        <w:t>Download results as a structured CSV or narrative PDF report suitable for reporting to health ministries or WHO regional offices.</w:t>
      </w:r>
    </w:p>
    <w:p>
      <w:pPr>
        <w:pStyle w:val="ListBullet"/>
        <w:ind w:left="340"/>
      </w:pPr>
      <w:r>
        <w:t>Access the service via a documented REST API for integration with existing health information systems (DHIS2, OpenMRS, REDCap).</w:t>
      </w:r>
    </w:p>
    <w:p/>
    <w:p>
      <w:r>
        <w:rPr>
          <w:b w:val="0"/>
          <w:i w:val="0"/>
        </w:rPr>
        <w:t>Deployment would be containerised (Docker / Kubernetes) for reproducibility and horizontal scalability. The service would be freely available to registered researchers, with a privacy-preserving mode in which no uploaded data is retained beyond the prediction session.</w:t>
      </w:r>
    </w:p>
    <w:p>
      <w:r>
        <w:br w:type="page"/>
      </w:r>
    </w:p>
    <w:p>
      <w:pPr>
        <w:pStyle w:val="Heading1"/>
      </w:pPr>
      <w:r>
        <w:t>6. Proposed Timeline (18 Months)</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1F4E79"/>
          </w:tcPr>
          <w:p>
            <w:r>
              <w:rPr>
                <w:b/>
                <w:color w:val="FFFFFF"/>
              </w:rPr>
              <w:t>Phase</w:t>
            </w:r>
          </w:p>
        </w:tc>
        <w:tc>
          <w:tcPr>
            <w:tcW w:type="dxa" w:w="1584"/>
            <w:shd w:val="clear" w:color="auto" w:fill="1F4E79"/>
          </w:tcPr>
          <w:p>
            <w:r>
              <w:rPr>
                <w:b/>
                <w:color w:val="FFFFFF"/>
              </w:rPr>
              <w:t>Period</w:t>
            </w:r>
          </w:p>
        </w:tc>
        <w:tc>
          <w:tcPr>
            <w:tcW w:type="dxa" w:w="5040"/>
            <w:shd w:val="clear" w:color="auto" w:fill="1F4E79"/>
          </w:tcPr>
          <w:p>
            <w:r>
              <w:rPr>
                <w:b/>
                <w:color w:val="FFFFFF"/>
              </w:rPr>
              <w:t>Key Deliverables</w:t>
            </w:r>
          </w:p>
        </w:tc>
      </w:tr>
      <w:tr>
        <w:tc>
          <w:tcPr>
            <w:tcW w:type="dxa" w:w="2448"/>
          </w:tcPr>
          <w:p>
            <w:r>
              <w:t>Phase 1 — Foundations</w:t>
            </w:r>
          </w:p>
        </w:tc>
        <w:tc>
          <w:tcPr>
            <w:tcW w:type="dxa" w:w="1584"/>
          </w:tcPr>
          <w:p>
            <w:r>
              <w:t>Months 1–4</w:t>
            </w:r>
          </w:p>
        </w:tc>
        <w:tc>
          <w:tcPr>
            <w:tcW w:type="dxa" w:w="5040"/>
          </w:tcPr>
          <w:p>
            <w:r>
              <w:t>Literature review; data acquisition from INDEPTH / WHO repositories; multi-site validation report; calibration framework implementation</w:t>
            </w:r>
          </w:p>
        </w:tc>
      </w:tr>
      <w:tr>
        <w:tc>
          <w:tcPr>
            <w:tcW w:type="dxa" w:w="2448"/>
          </w:tcPr>
          <w:p>
            <w:r>
              <w:t>Phase 2 — Advanced NLP</w:t>
            </w:r>
          </w:p>
        </w:tc>
        <w:tc>
          <w:tcPr>
            <w:tcW w:type="dxa" w:w="1584"/>
          </w:tcPr>
          <w:p>
            <w:r>
              <w:t>Months 3–9</w:t>
            </w:r>
          </w:p>
        </w:tc>
        <w:tc>
          <w:tcPr>
            <w:tcW w:type="dxa" w:w="5040"/>
          </w:tcPr>
          <w:p>
            <w:r>
              <w:t>Multilingual BERT fine-tuning; LLM benchmark; RAG prototype; NLP ablation study comparing narrative architectures</w:t>
            </w:r>
          </w:p>
        </w:tc>
      </w:tr>
      <w:tr>
        <w:tc>
          <w:tcPr>
            <w:tcW w:type="dxa" w:w="2448"/>
          </w:tcPr>
          <w:p>
            <w:r>
              <w:t>Phase 3 — Service Architecture</w:t>
            </w:r>
          </w:p>
        </w:tc>
        <w:tc>
          <w:tcPr>
            <w:tcW w:type="dxa" w:w="1584"/>
          </w:tcPr>
          <w:p>
            <w:r>
              <w:t>Months 7–13</w:t>
            </w:r>
          </w:p>
        </w:tc>
        <w:tc>
          <w:tcPr>
            <w:tcW w:type="dxa" w:w="5040"/>
          </w:tcPr>
          <w:p>
            <w:r>
              <w:t>FastAPI backend; Docker containerisation; React/Streamlit frontend; REST API documentation; beta deployment on cloud VM</w:t>
            </w:r>
          </w:p>
        </w:tc>
      </w:tr>
      <w:tr>
        <w:tc>
          <w:tcPr>
            <w:tcW w:type="dxa" w:w="2448"/>
          </w:tcPr>
          <w:p>
            <w:r>
              <w:t>Phase 4 — Active Learning &amp; Fairness</w:t>
            </w:r>
          </w:p>
        </w:tc>
        <w:tc>
          <w:tcPr>
            <w:tcW w:type="dxa" w:w="1584"/>
          </w:tcPr>
          <w:p>
            <w:r>
              <w:t>Months 10–16</w:t>
            </w:r>
          </w:p>
        </w:tc>
        <w:tc>
          <w:tcPr>
            <w:tcW w:type="dxa" w:w="5040"/>
          </w:tcPr>
          <w:p>
            <w:r>
              <w:t>Active learning loop; annotation interface; fairness audit report; domain adaptation experiments</w:t>
            </w:r>
          </w:p>
        </w:tc>
      </w:tr>
      <w:tr>
        <w:tc>
          <w:tcPr>
            <w:tcW w:type="dxa" w:w="2448"/>
          </w:tcPr>
          <w:p>
            <w:r>
              <w:t>Phase 5 — Evaluation &amp; Dissemination</w:t>
            </w:r>
          </w:p>
        </w:tc>
        <w:tc>
          <w:tcPr>
            <w:tcW w:type="dxa" w:w="1584"/>
          </w:tcPr>
          <w:p>
            <w:r>
              <w:t>Months 14–18</w:t>
            </w:r>
          </w:p>
        </w:tc>
        <w:tc>
          <w:tcPr>
            <w:tcW w:type="dxa" w:w="5040"/>
          </w:tcPr>
          <w:p>
            <w:r>
              <w:t>Journal manuscript (PLOS Medicine / Lancet Digital Health target); conference presentation; open-source release; thesis submission</w:t>
            </w:r>
          </w:p>
        </w:tc>
      </w:tr>
    </w:tbl>
    <w:p>
      <w:pPr>
        <w:pStyle w:val="Heading1"/>
      </w:pPr>
      <w:r>
        <w:t>7. Budget Justification</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1F4E79"/>
          </w:tcPr>
          <w:p>
            <w:r>
              <w:rPr>
                <w:b/>
                <w:color w:val="FFFFFF"/>
              </w:rPr>
              <w:t>Item</w:t>
            </w:r>
          </w:p>
        </w:tc>
        <w:tc>
          <w:tcPr>
            <w:tcW w:type="dxa" w:w="1728"/>
            <w:shd w:val="clear" w:color="auto" w:fill="1F4E79"/>
          </w:tcPr>
          <w:p>
            <w:r>
              <w:rPr>
                <w:b/>
                <w:color w:val="FFFFFF"/>
              </w:rPr>
              <w:t>Amount (USD)</w:t>
            </w:r>
          </w:p>
        </w:tc>
        <w:tc>
          <w:tcPr>
            <w:tcW w:type="dxa" w:w="3600"/>
            <w:shd w:val="clear" w:color="auto" w:fill="1F4E79"/>
          </w:tcPr>
          <w:p>
            <w:r>
              <w:rPr>
                <w:b/>
                <w:color w:val="FFFFFF"/>
              </w:rPr>
              <w:t>Justification</w:t>
            </w:r>
          </w:p>
        </w:tc>
      </w:tr>
      <w:tr>
        <w:tc>
          <w:tcPr>
            <w:tcW w:type="dxa" w:w="3744"/>
          </w:tcPr>
          <w:p>
            <w:r>
              <w:t>Masters student stipend (18 months)</w:t>
            </w:r>
          </w:p>
        </w:tc>
        <w:tc>
          <w:tcPr>
            <w:tcW w:type="dxa" w:w="1728"/>
          </w:tcPr>
          <w:p>
            <w:r>
              <w:t>27 000</w:t>
            </w:r>
          </w:p>
        </w:tc>
        <w:tc>
          <w:tcPr>
            <w:tcW w:type="dxa" w:w="3600"/>
          </w:tcPr>
          <w:p>
            <w:r>
              <w:t>Living stipend at standard research-track rate</w:t>
            </w:r>
          </w:p>
        </w:tc>
      </w:tr>
      <w:tr>
        <w:tc>
          <w:tcPr>
            <w:tcW w:type="dxa" w:w="3744"/>
          </w:tcPr>
          <w:p>
            <w:r>
              <w:t>Tuition fees</w:t>
            </w:r>
          </w:p>
        </w:tc>
        <w:tc>
          <w:tcPr>
            <w:tcW w:type="dxa" w:w="1728"/>
          </w:tcPr>
          <w:p>
            <w:r>
              <w:t>12 000</w:t>
            </w:r>
          </w:p>
        </w:tc>
        <w:tc>
          <w:tcPr>
            <w:tcW w:type="dxa" w:w="3600"/>
          </w:tcPr>
          <w:p>
            <w:r>
              <w:t>Postgraduate registration fees</w:t>
            </w:r>
          </w:p>
        </w:tc>
      </w:tr>
      <w:tr>
        <w:tc>
          <w:tcPr>
            <w:tcW w:type="dxa" w:w="3744"/>
          </w:tcPr>
          <w:p>
            <w:r>
              <w:t>GPU cloud compute</w:t>
            </w:r>
          </w:p>
        </w:tc>
        <w:tc>
          <w:tcPr>
            <w:tcW w:type="dxa" w:w="1728"/>
          </w:tcPr>
          <w:p>
            <w:r>
              <w:t>3 000</w:t>
            </w:r>
          </w:p>
        </w:tc>
        <w:tc>
          <w:tcPr>
            <w:tcW w:type="dxa" w:w="3600"/>
          </w:tcPr>
          <w:p>
            <w:r>
              <w:t>Transformer fine-tuning, hyperparameter search (AWS / GCP spot instances)</w:t>
            </w:r>
          </w:p>
        </w:tc>
      </w:tr>
      <w:tr>
        <w:tc>
          <w:tcPr>
            <w:tcW w:type="dxa" w:w="3744"/>
          </w:tcPr>
          <w:p>
            <w:r>
              <w:t>Web service hosting (18 months)</w:t>
            </w:r>
          </w:p>
        </w:tc>
        <w:tc>
          <w:tcPr>
            <w:tcW w:type="dxa" w:w="1728"/>
          </w:tcPr>
          <w:p>
            <w:r>
              <w:t>1 200</w:t>
            </w:r>
          </w:p>
        </w:tc>
        <w:tc>
          <w:tcPr>
            <w:tcW w:type="dxa" w:w="3600"/>
          </w:tcPr>
          <w:p>
            <w:r>
              <w:t>Cloud VM + storage for beta deployment</w:t>
            </w:r>
          </w:p>
        </w:tc>
      </w:tr>
      <w:tr>
        <w:tc>
          <w:tcPr>
            <w:tcW w:type="dxa" w:w="3744"/>
          </w:tcPr>
          <w:p>
            <w:r>
              <w:t>Conference travel (1 international)</w:t>
            </w:r>
          </w:p>
        </w:tc>
        <w:tc>
          <w:tcPr>
            <w:tcW w:type="dxa" w:w="1728"/>
          </w:tcPr>
          <w:p>
            <w:r>
              <w:t>2 500</w:t>
            </w:r>
          </w:p>
        </w:tc>
        <w:tc>
          <w:tcPr>
            <w:tcW w:type="dxa" w:w="3600"/>
          </w:tcPr>
          <w:p>
            <w:r>
              <w:t>Dissemination at ISPH / Digital Health conference</w:t>
            </w:r>
          </w:p>
        </w:tc>
      </w:tr>
      <w:tr>
        <w:tc>
          <w:tcPr>
            <w:tcW w:type="dxa" w:w="3744"/>
          </w:tcPr>
          <w:p>
            <w:r>
              <w:t>Data access and consortium fees</w:t>
            </w:r>
          </w:p>
        </w:tc>
        <w:tc>
          <w:tcPr>
            <w:tcW w:type="dxa" w:w="1728"/>
          </w:tcPr>
          <w:p>
            <w:r>
              <w:t>1 000</w:t>
            </w:r>
          </w:p>
        </w:tc>
        <w:tc>
          <w:tcPr>
            <w:tcW w:type="dxa" w:w="3600"/>
          </w:tcPr>
          <w:p>
            <w:r>
              <w:t>INDEPTH HDSS / WHO SAGE data access agreements</w:t>
            </w:r>
          </w:p>
        </w:tc>
      </w:tr>
      <w:tr>
        <w:tc>
          <w:tcPr>
            <w:tcW w:type="dxa" w:w="3744"/>
          </w:tcPr>
          <w:p>
            <w:r>
              <w:t>Consumables and miscellaneous</w:t>
            </w:r>
          </w:p>
        </w:tc>
        <w:tc>
          <w:tcPr>
            <w:tcW w:type="dxa" w:w="1728"/>
          </w:tcPr>
          <w:p>
            <w:r>
              <w:t>500</w:t>
            </w:r>
          </w:p>
        </w:tc>
        <w:tc>
          <w:tcPr>
            <w:tcW w:type="dxa" w:w="3600"/>
          </w:tcPr>
          <w:p>
            <w:r>
              <w:t>Software, printing, contingency</w:t>
            </w:r>
          </w:p>
        </w:tc>
      </w:tr>
      <w:tr>
        <w:tc>
          <w:tcPr>
            <w:tcW w:type="dxa" w:w="3744"/>
          </w:tcPr>
          <w:p>
            <w:r>
              <w:t>TOTAL</w:t>
            </w:r>
          </w:p>
        </w:tc>
        <w:tc>
          <w:tcPr>
            <w:tcW w:type="dxa" w:w="1728"/>
          </w:tcPr>
          <w:p>
            <w:r>
              <w:t>47 200</w:t>
            </w:r>
          </w:p>
        </w:tc>
        <w:tc>
          <w:tcPr>
            <w:tcW w:type="dxa" w:w="3600"/>
          </w:tcPr>
          <w:p>
            <w:r/>
          </w:p>
        </w:tc>
      </w:tr>
    </w:tbl>
    <w:p>
      <w:pPr>
        <w:pStyle w:val="Heading1"/>
      </w:pPr>
      <w:r>
        <w:t>8. Conclusion</w:t>
      </w:r>
    </w:p>
    <w:p>
      <w:r>
        <w:rPr>
          <w:b w:val="0"/>
          <w:i w:val="0"/>
        </w:rPr>
        <w:t>CCVA-ML is an operational hybrid machine-learning system that already demonstrates strong performance on a challenging, clinically important task: automatically assigning cause of death from verbal autopsy surveys in low-resource settings. The current system achieves 93.8 % accuracy and 92.3 % macro-F1 across 23 cause-of-death categories on held-out data, with principled uncertainty quantification and human-readable explanations powered by SHAP.</w:t>
      </w:r>
    </w:p>
    <w:p/>
    <w:p>
      <w:r>
        <w:rPr>
          <w:b w:val="0"/>
          <w:i w:val="0"/>
        </w:rPr>
        <w:t>The proposed Masters studentship would advance this work in three complementary directions: superior deep-learning methods for narrative understanding, rigorous probabilistic calibration and multi-site validation, and — most tangibly — the transformation of a research pipeline into a publicly accessible web service. This service would give epidemiologists worldwide a free, peer-reviewed, explainable tool for cause-of-death classification, directly supporting the UN Sustainable Development Goal target of universal civil registration of cause of death by 2030.</w:t>
      </w:r>
    </w:p>
    <w:p/>
    <w:p>
      <w:r>
        <w:rPr>
          <w:b w:val="0"/>
          <w:i w:val="0"/>
        </w:rPr>
        <w:t>The combination of a mature, deployable current system and a clear roadmap for methodological advancement makes this an unusually high-value investment in both research capacity and global health impact.</w:t>
      </w:r>
    </w:p>
    <w:p>
      <w:r>
        <w:br w:type="page"/>
      </w:r>
    </w:p>
    <w:p>
      <w:pPr>
        <w:pStyle w:val="Heading1"/>
      </w:pPr>
      <w:r>
        <w:t>Appendix A: System Architecture Diagram (Conceptual)</w:t>
      </w:r>
    </w:p>
    <w:p>
      <w:r>
        <w:rPr>
          <w:b/>
          <w:i w:val="0"/>
        </w:rPr>
        <w:t>Current Pipeline (implemented)</w:t>
      </w:r>
    </w:p>
    <w:p/>
    <w:p>
      <w:pPr>
        <w:ind w:left="680"/>
      </w:pPr>
      <w:r>
        <w:rPr>
          <w:rFonts w:ascii="Courier New" w:hAnsi="Courier New"/>
          <w:sz w:val="16"/>
        </w:rPr>
        <w:t>┌──────────────────────────────────────────────────────────┐</w:t>
        <w:br/>
        <w:t>│                    RAW INPUT (CSV)                       │</w:t>
        <w:br/>
        <w:t>│        WHO VA 2016 / 2022 survey files                   │</w:t>
        <w:br/>
        <w:t>└───────────────────────┬──────────────────────────────────┘</w:t>
        <w:br/>
        <w:t xml:space="preserve">                        │</w:t>
        <w:br/>
        <w:t xml:space="preserve">           ┌────────────▼──────────────┐</w:t>
        <w:br/>
        <w:t xml:space="preserve">           │  Instrument Detection      │  auto-detect 2016/2022</w:t>
        <w:br/>
        <w:t xml:space="preserve">           │  Data Quality Filter       │  drop sparse cols, norm nulls</w:t>
        <w:br/>
        <w:t xml:space="preserve">           │  CoD Taxonomy Mapping      │  harmonise ICD labels</w:t>
        <w:br/>
        <w:t xml:space="preserve">           │  Label Quality Audit       │  Cleanlab + LLM review</w:t>
        <w:br/>
        <w:t xml:space="preserve">           └────────────┬──────────────┘</w:t>
        <w:br/>
        <w:t xml:space="preserve">                        │</w:t>
        <w:br/>
        <w:t xml:space="preserve">          ┌─────────────┴─────────────┐</w:t>
        <w:br/>
        <w:t xml:space="preserve">          │                           │</w:t>
        <w:br/>
        <w:t xml:space="preserve">   ┌──────▼──────┐          ┌────────▼────────┐</w:t>
        <w:br/>
        <w:t xml:space="preserve">   │  Structured  │          │    Narrative    │</w:t>
        <w:br/>
        <w:t xml:space="preserve">   │  Features    │          │    Text Fields  │</w:t>
        <w:br/>
        <w:t xml:space="preserve">   │  (817 dims)  │          │  (id10476/7/9)  │</w:t>
        <w:br/>
        <w:t xml:space="preserve">   └──────┬──────┘          └────────┬────────┘</w:t>
        <w:br/>
        <w:t xml:space="preserve">          │                          │</w:t>
        <w:br/>
        <w:t xml:space="preserve">   ┌──────▼──────┐          ┌────────▼────────┐</w:t>
        <w:br/>
        <w:t xml:space="preserve">   │ Label/Ordinal│          │ Sentence-       │</w:t>
        <w:br/>
        <w:t xml:space="preserve">   │ Encoding +   │          │ Transformer     │</w:t>
        <w:br/>
        <w:t xml:space="preserve">   │ StandardScal │          │ paraphrase-     │</w:t>
        <w:br/>
        <w:t xml:space="preserve">   └──────┬──────┘          │ multilingual-   │</w:t>
        <w:br/>
        <w:t xml:space="preserve">          │                 │ MiniLM-L12-v2   │</w:t>
        <w:br/>
        <w:t xml:space="preserve">          │                 │ (384 dims)      │</w:t>
        <w:br/>
        <w:t xml:space="preserve">          │                 └────────┬────────┘</w:t>
        <w:br/>
        <w:t xml:space="preserve">          │                          │</w:t>
        <w:br/>
        <w:t xml:space="preserve">          └──────────┬───────────────┘</w:t>
        <w:br/>
        <w:t xml:space="preserve">                     │ concat</w:t>
        <w:br/>
        <w:t xml:space="preserve">             ┌───────▼───────┐</w:t>
        <w:br/>
        <w:t xml:space="preserve">             │   XGBoost     │  gradient-boosted trees</w:t>
        <w:br/>
        <w:t xml:space="preserve">             │  (1201 input) │  5-fold CV hyperparameter search</w:t>
        <w:br/>
        <w:t xml:space="preserve">             └───────┬───────┘</w:t>
        <w:br/>
        <w:t xml:space="preserve">                     │</w:t>
        <w:br/>
        <w:t xml:space="preserve">        ┌────────────▼──────────────┐</w:t>
        <w:br/>
        <w:t xml:space="preserve">        │   Prediction + Confidence  │</w:t>
        <w:br/>
        <w:t xml:space="preserve">        │   SHAP explanations        │</w:t>
        <w:br/>
        <w:t xml:space="preserve">        │   Wilson CI + Entropy OOD  │</w:t>
        <w:br/>
        <w:t xml:space="preserve">        └───────────────────────────┘</w:t>
      </w:r>
    </w:p>
    <w:p/>
    <w:p>
      <w:r>
        <w:rPr>
          <w:b/>
          <w:i w:val="0"/>
        </w:rPr>
        <w:t>Proposed Service Architecture (with funding)</w:t>
      </w:r>
    </w:p>
    <w:p/>
    <w:p>
      <w:pPr>
        <w:ind w:left="680"/>
      </w:pPr>
      <w:r>
        <w:rPr>
          <w:rFonts w:ascii="Courier New" w:hAnsi="Courier New"/>
          <w:sz w:val="16"/>
        </w:rPr>
        <w:t>┌──────────────────────────────────────────────────────────┐</w:t>
        <w:br/>
        <w:t>│              PUBLIC HEALTH RESEARCHER                    │</w:t>
        <w:br/>
        <w:t>└──────────────────┬───────────────────────────────────────┘</w:t>
        <w:br/>
        <w:t xml:space="preserve">                   │  HTTPS  (CSV upload / REST API)</w:t>
        <w:br/>
        <w:t xml:space="preserve">   ┌───────────────▼────────────────────────────────┐</w:t>
        <w:br/>
        <w:t xml:space="preserve">   │              Web Frontend                       │</w:t>
        <w:br/>
        <w:t xml:space="preserve">   │    (React / Streamlit — interactive results)    │</w:t>
        <w:br/>
        <w:t xml:space="preserve">   └───────────────┬────────────────────────────────┘</w:t>
        <w:br/>
        <w:t xml:space="preserve">                   │</w:t>
        <w:br/>
        <w:t xml:space="preserve">   ┌───────────────▼────────────────────────────────┐</w:t>
        <w:br/>
        <w:t xml:space="preserve">   │              API Gateway                        │</w:t>
        <w:br/>
        <w:t xml:space="preserve">   │        (FastAPI + OAuth2 + rate-limit)          │</w:t>
        <w:br/>
        <w:t xml:space="preserve">   └───┬───────────────────────────────┬────────────┘</w:t>
        <w:br/>
        <w:t xml:space="preserve">       │                               │</w:t>
        <w:br/>
        <w:t>┌──────▼──────┐                 ┌──────▼──────┐</w:t>
        <w:br/>
        <w:t>│ Preprocessing│                 │  Inference  │</w:t>
        <w:br/>
        <w:t>│ Microservice │                 │  Container  │</w:t>
        <w:br/>
        <w:t>│  (Docker)    │────────────────&gt;│  (BentoML/  │</w:t>
        <w:br/>
        <w:t>│  encode +    │                 │   ONNX)     │</w:t>
        <w:br/>
        <w:t>│  embed +     │                 └──────┬──────┘</w:t>
        <w:br/>
        <w:t>│  scale       │                        │</w:t>
        <w:br/>
        <w:t>└─────────────┘                  ┌──────▼──────┐</w:t>
        <w:br/>
        <w:t xml:space="preserve">                                 │   Results   │</w:t>
        <w:br/>
        <w:t xml:space="preserve">                                 │ JSON + SHAP │</w:t>
        <w:br/>
        <w:t xml:space="preserve">                                 │  PDF report │</w:t>
        <w:br/>
        <w:t xml:space="preserve">                                 └─────────────┘</w:t>
      </w:r>
    </w:p>
    <w:p/>
    <w:p>
      <w:pPr>
        <w:pStyle w:val="Heading1"/>
      </w:pPr>
      <w:r>
        <w:t>References (Selected)</w:t>
      </w:r>
    </w:p>
    <w:p>
      <w:pPr>
        <w:pStyle w:val="ListBullet"/>
        <w:ind w:left="340"/>
      </w:pPr>
      <w:r>
        <w:t>WHO (2022). Verbal Autopsy Standards: Ascertaining and Attributing Cause of Death. World Health Organization, Geneva.</w:t>
      </w:r>
    </w:p>
    <w:p>
      <w:pPr>
        <w:pStyle w:val="ListBullet"/>
        <w:ind w:left="340"/>
      </w:pPr>
      <w:r>
        <w:t>Nichols EK et al. (2018). The WHO 2016 verbal autopsy instrument: An international standard suitable for automated analysis by InterVA, InSilicoVA, and Tariff 2.0. PLoS Medicine, 15(1).</w:t>
      </w:r>
    </w:p>
    <w:p>
      <w:pPr>
        <w:pStyle w:val="ListBullet"/>
        <w:ind w:left="340"/>
      </w:pPr>
      <w:r>
        <w:t>Murray CJL et al. (2014). Using verbal autopsy to measure causes of death: the comparative performance of existing methods. BMC Medicine, 12(1), 1–19.</w:t>
      </w:r>
    </w:p>
    <w:p>
      <w:pPr>
        <w:pStyle w:val="ListBullet"/>
        <w:ind w:left="340"/>
      </w:pPr>
      <w:r>
        <w:t>Chandramohan D et al. (2021). The RandomVA study: a prospective multi-site study of verbal autopsy performance. BMC Medicine, 19, 1–15.</w:t>
      </w:r>
    </w:p>
    <w:p>
      <w:pPr>
        <w:pStyle w:val="ListBullet"/>
        <w:ind w:left="340"/>
      </w:pPr>
      <w:r>
        <w:t>Northcott C et al. (2021). The performance of automated verbal autopsy methods for cause of death assignment. BMC Medicine, 19(2), 1–15.</w:t>
      </w:r>
    </w:p>
    <w:p>
      <w:pPr>
        <w:pStyle w:val="ListBullet"/>
        <w:ind w:left="340"/>
      </w:pPr>
      <w:r>
        <w:t>Chen T, Guestrin C (2016). XGBoost: A scalable tree boosting system. KDD '16, 785–794.</w:t>
      </w:r>
    </w:p>
    <w:p>
      <w:pPr>
        <w:pStyle w:val="ListBullet"/>
        <w:ind w:left="340"/>
      </w:pPr>
      <w:r>
        <w:t>Reimers N, Gurevych I (2019). Sentence-BERT: Sentence Embeddings using Siamese BERT-Networks. EMNLP 2019.</w:t>
      </w:r>
    </w:p>
    <w:p>
      <w:pPr>
        <w:pStyle w:val="ListBullet"/>
        <w:ind w:left="340"/>
      </w:pPr>
      <w:r>
        <w:t>Northcott C et al. (2023). Validating verbal autopsy methods across multiple sites. Lancet Digital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