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848" w:rsidRDefault="00014848" w:rsidP="00014848">
      <w:bookmarkStart w:id="0" w:name="_GoBack"/>
      <w:bookmarkEnd w:id="0"/>
    </w:p>
    <w:p w:rsidR="00C13236" w:rsidRPr="0067794B" w:rsidRDefault="00C13236" w:rsidP="00C13236">
      <w:pPr>
        <w:pStyle w:val="Heading1"/>
        <w:rPr>
          <w:rFonts w:cs="Times New Roman"/>
          <w:szCs w:val="24"/>
        </w:rPr>
      </w:pPr>
      <w:bookmarkStart w:id="1" w:name="_Toc521764565"/>
      <w:bookmarkStart w:id="2" w:name="_Toc523134499"/>
      <w:r w:rsidRPr="0067794B">
        <w:rPr>
          <w:rFonts w:cs="Times New Roman"/>
          <w:szCs w:val="24"/>
        </w:rPr>
        <w:t>DATA ANALYSIS, PRESENTATION AND INTERPRETATION OF THE RESEARCH FINDINGS</w:t>
      </w:r>
      <w:bookmarkEnd w:id="1"/>
      <w:bookmarkEnd w:id="2"/>
    </w:p>
    <w:p w:rsidR="00C13236" w:rsidRPr="0067794B" w:rsidRDefault="00C13236" w:rsidP="00C13236">
      <w:pPr>
        <w:pStyle w:val="Heading2"/>
        <w:jc w:val="both"/>
        <w:rPr>
          <w:rFonts w:eastAsia="MS Gothic" w:cs="Times New Roman"/>
          <w:szCs w:val="24"/>
        </w:rPr>
      </w:pPr>
      <w:bookmarkStart w:id="3" w:name="_Toc523134500"/>
      <w:bookmarkStart w:id="4" w:name="_Toc521764566"/>
      <w:bookmarkStart w:id="5" w:name="_Toc515966852"/>
      <w:bookmarkStart w:id="6" w:name="_Toc470171219"/>
      <w:bookmarkStart w:id="7" w:name="_Toc421031317"/>
      <w:bookmarkStart w:id="8" w:name="_Toc510449119"/>
      <w:r w:rsidRPr="0067794B">
        <w:rPr>
          <w:rFonts w:eastAsia="MS Gothic" w:cs="Times New Roman"/>
          <w:szCs w:val="24"/>
        </w:rPr>
        <w:t>4.1 Introduction</w:t>
      </w:r>
      <w:bookmarkEnd w:id="3"/>
      <w:bookmarkEnd w:id="4"/>
      <w:bookmarkEnd w:id="5"/>
      <w:bookmarkEnd w:id="6"/>
      <w:bookmarkEnd w:id="7"/>
    </w:p>
    <w:p w:rsidR="00C13236" w:rsidRPr="0067794B" w:rsidRDefault="00C13236" w:rsidP="00C13236">
      <w:pPr>
        <w:spacing w:before="120" w:after="120" w:line="360" w:lineRule="auto"/>
        <w:jc w:val="both"/>
        <w:rPr>
          <w:rFonts w:ascii="Times New Roman" w:hAnsi="Times New Roman" w:cs="Times New Roman"/>
          <w:sz w:val="24"/>
          <w:szCs w:val="24"/>
        </w:rPr>
      </w:pPr>
      <w:bookmarkStart w:id="9" w:name="_Toc397599441"/>
      <w:r w:rsidRPr="0067794B">
        <w:rPr>
          <w:rFonts w:ascii="Times New Roman" w:hAnsi="Times New Roman" w:cs="Times New Roman"/>
          <w:sz w:val="24"/>
          <w:szCs w:val="24"/>
        </w:rPr>
        <w:t xml:space="preserve">This chapter presents findings and analysis of data obtained to establish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 xml:space="preserve">infrastructure projects in </w:t>
      </w:r>
      <w:proofErr w:type="spellStart"/>
      <w:r w:rsidRPr="009B6A0E">
        <w:rPr>
          <w:rFonts w:ascii="Times New Roman" w:hAnsi="Times New Roman" w:cs="Times New Roman"/>
          <w:sz w:val="24"/>
          <w:szCs w:val="24"/>
        </w:rPr>
        <w:t>Bomet</w:t>
      </w:r>
      <w:proofErr w:type="spellEnd"/>
      <w:r w:rsidRPr="009B6A0E">
        <w:rPr>
          <w:rFonts w:ascii="Times New Roman" w:hAnsi="Times New Roman" w:cs="Times New Roman"/>
          <w:sz w:val="24"/>
          <w:szCs w:val="24"/>
        </w:rPr>
        <w:t xml:space="preserve"> County</w:t>
      </w:r>
      <w:r w:rsidRPr="0067794B">
        <w:rPr>
          <w:rFonts w:ascii="Times New Roman" w:eastAsia="Times New Roman" w:hAnsi="Times New Roman" w:cs="Times New Roman"/>
          <w:sz w:val="24"/>
          <w:szCs w:val="24"/>
        </w:rPr>
        <w:t>, Kenya.</w:t>
      </w:r>
      <w:r w:rsidRPr="0067794B">
        <w:rPr>
          <w:rFonts w:ascii="Times New Roman" w:hAnsi="Times New Roman" w:cs="Times New Roman"/>
          <w:sz w:val="24"/>
          <w:szCs w:val="24"/>
        </w:rPr>
        <w:t xml:space="preserve"> The data is analyzed and presented in the form of tables, graphs as well as charts. </w:t>
      </w:r>
    </w:p>
    <w:p w:rsidR="00C13236" w:rsidRPr="0067794B" w:rsidRDefault="00C13236" w:rsidP="00C13236">
      <w:pPr>
        <w:pStyle w:val="Heading2"/>
        <w:jc w:val="both"/>
        <w:rPr>
          <w:rFonts w:eastAsia="MS Gothic" w:cs="Times New Roman"/>
          <w:szCs w:val="24"/>
        </w:rPr>
      </w:pPr>
      <w:bookmarkStart w:id="10" w:name="_Toc523134501"/>
      <w:bookmarkStart w:id="11" w:name="_Toc521764567"/>
      <w:bookmarkStart w:id="12" w:name="_Toc515966853"/>
      <w:bookmarkStart w:id="13" w:name="_Toc470171220"/>
      <w:bookmarkStart w:id="14" w:name="_Toc421031318"/>
      <w:bookmarkEnd w:id="9"/>
      <w:r w:rsidRPr="0067794B">
        <w:rPr>
          <w:rFonts w:eastAsia="MS Gothic" w:cs="Times New Roman"/>
          <w:szCs w:val="24"/>
        </w:rPr>
        <w:t>4.2 Response Rate</w:t>
      </w:r>
      <w:bookmarkEnd w:id="10"/>
      <w:bookmarkEnd w:id="11"/>
      <w:bookmarkEnd w:id="12"/>
      <w:bookmarkEnd w:id="13"/>
      <w:bookmarkEnd w:id="14"/>
    </w:p>
    <w:p w:rsidR="00C13236" w:rsidRPr="0067794B" w:rsidRDefault="00C13236" w:rsidP="00C13236">
      <w:pPr>
        <w:spacing w:line="360" w:lineRule="auto"/>
        <w:jc w:val="both"/>
        <w:rPr>
          <w:rFonts w:ascii="Times New Roman" w:eastAsia="Calibri" w:hAnsi="Times New Roman" w:cs="Times New Roman"/>
          <w:sz w:val="24"/>
          <w:szCs w:val="24"/>
        </w:rPr>
      </w:pPr>
      <w:r w:rsidRPr="0067794B">
        <w:rPr>
          <w:rFonts w:ascii="Times New Roman" w:eastAsia="Calibri" w:hAnsi="Times New Roman" w:cs="Times New Roman"/>
          <w:sz w:val="24"/>
          <w:szCs w:val="24"/>
        </w:rPr>
        <w:t xml:space="preserve">As shown in Table 4.1, the </w:t>
      </w:r>
      <w:r w:rsidRPr="0067794B">
        <w:rPr>
          <w:rFonts w:ascii="Times New Roman" w:hAnsi="Times New Roman" w:cs="Times New Roman"/>
          <w:sz w:val="24"/>
          <w:szCs w:val="24"/>
        </w:rPr>
        <w:t>questionnaires</w:t>
      </w:r>
      <w:r w:rsidRPr="0067794B">
        <w:rPr>
          <w:rFonts w:ascii="Times New Roman" w:eastAsia="Calibri" w:hAnsi="Times New Roman" w:cs="Times New Roman"/>
          <w:sz w:val="24"/>
          <w:szCs w:val="24"/>
        </w:rPr>
        <w:t xml:space="preserve"> that the researcher administered were 288 out of which only 238 fully filled questionnaires were returned. </w:t>
      </w:r>
    </w:p>
    <w:p w:rsidR="00C13236" w:rsidRPr="0067794B" w:rsidRDefault="00C13236" w:rsidP="00C13236">
      <w:pPr>
        <w:suppressAutoHyphens/>
        <w:spacing w:after="0" w:line="240" w:lineRule="auto"/>
        <w:jc w:val="both"/>
        <w:rPr>
          <w:rFonts w:ascii="Times New Roman" w:eastAsia="Calibri" w:hAnsi="Times New Roman" w:cs="Times New Roman"/>
          <w:b/>
          <w:bCs/>
          <w:sz w:val="24"/>
          <w:szCs w:val="24"/>
          <w:lang w:eastAsia="ar-SA"/>
        </w:rPr>
      </w:pPr>
      <w:bookmarkStart w:id="15" w:name="_Toc514917445"/>
      <w:bookmarkStart w:id="16" w:name="_Toc513480018"/>
      <w:bookmarkStart w:id="17" w:name="_Toc510794047"/>
      <w:bookmarkStart w:id="18" w:name="_Toc487810876"/>
      <w:r>
        <w:rPr>
          <w:rFonts w:ascii="Times New Roman" w:eastAsia="Calibri" w:hAnsi="Times New Roman" w:cs="Times New Roman"/>
          <w:b/>
          <w:bCs/>
          <w:sz w:val="24"/>
          <w:szCs w:val="24"/>
          <w:lang w:eastAsia="ar-SA"/>
        </w:rPr>
        <w:t>Table 4.1</w:t>
      </w:r>
      <w:r w:rsidRPr="0067794B">
        <w:rPr>
          <w:rFonts w:ascii="Times New Roman" w:eastAsia="Calibri" w:hAnsi="Times New Roman" w:cs="Times New Roman"/>
          <w:b/>
          <w:bCs/>
          <w:sz w:val="24"/>
          <w:szCs w:val="24"/>
          <w:lang w:eastAsia="ar-SA"/>
        </w:rPr>
        <w:t>: Response Rate</w:t>
      </w:r>
      <w:bookmarkEnd w:id="15"/>
      <w:bookmarkEnd w:id="16"/>
      <w:bookmarkEnd w:id="17"/>
      <w:bookmarkEnd w:id="18"/>
    </w:p>
    <w:tbl>
      <w:tblPr>
        <w:tblW w:w="5049" w:type="pct"/>
        <w:tblBorders>
          <w:top w:val="single" w:sz="4" w:space="0" w:color="auto"/>
          <w:bottom w:val="single" w:sz="4" w:space="0" w:color="auto"/>
        </w:tblBorders>
        <w:tblLook w:val="04A0" w:firstRow="1" w:lastRow="0" w:firstColumn="1" w:lastColumn="0" w:noHBand="0" w:noVBand="1"/>
      </w:tblPr>
      <w:tblGrid>
        <w:gridCol w:w="5343"/>
        <w:gridCol w:w="1952"/>
        <w:gridCol w:w="1819"/>
      </w:tblGrid>
      <w:tr w:rsidR="00C13236" w:rsidRPr="0067794B" w:rsidTr="000439C1">
        <w:trPr>
          <w:trHeight w:val="360"/>
        </w:trPr>
        <w:tc>
          <w:tcPr>
            <w:tcW w:w="2931" w:type="pct"/>
            <w:tcBorders>
              <w:top w:val="single" w:sz="4" w:space="0" w:color="auto"/>
              <w:left w:val="nil"/>
              <w:bottom w:val="single" w:sz="4" w:space="0" w:color="auto"/>
              <w:right w:val="nil"/>
            </w:tcBorders>
          </w:tcPr>
          <w:p w:rsidR="00C13236" w:rsidRPr="0067794B" w:rsidRDefault="00C13236" w:rsidP="000439C1">
            <w:pPr>
              <w:spacing w:after="0" w:line="240" w:lineRule="auto"/>
              <w:jc w:val="both"/>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Response</w:t>
            </w:r>
          </w:p>
        </w:tc>
        <w:tc>
          <w:tcPr>
            <w:tcW w:w="1071" w:type="pct"/>
            <w:tcBorders>
              <w:top w:val="single" w:sz="4" w:space="0" w:color="auto"/>
              <w:left w:val="nil"/>
              <w:bottom w:val="single" w:sz="4" w:space="0" w:color="auto"/>
              <w:right w:val="nil"/>
            </w:tcBorders>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 xml:space="preserve">Frequency </w:t>
            </w:r>
          </w:p>
        </w:tc>
        <w:tc>
          <w:tcPr>
            <w:tcW w:w="998"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Response Rate</w:t>
            </w:r>
          </w:p>
        </w:tc>
      </w:tr>
      <w:tr w:rsidR="00C13236" w:rsidRPr="0067794B" w:rsidTr="000439C1">
        <w:trPr>
          <w:trHeight w:val="581"/>
        </w:trPr>
        <w:tc>
          <w:tcPr>
            <w:tcW w:w="2931" w:type="pct"/>
            <w:tcBorders>
              <w:top w:val="single" w:sz="4" w:space="0" w:color="auto"/>
              <w:left w:val="nil"/>
              <w:bottom w:val="nil"/>
              <w:right w:val="nil"/>
            </w:tcBorders>
            <w:hideMark/>
          </w:tcPr>
          <w:p w:rsidR="00C13236" w:rsidRPr="0067794B" w:rsidRDefault="00C13236" w:rsidP="000439C1">
            <w:pPr>
              <w:spacing w:line="240" w:lineRule="auto"/>
              <w:jc w:val="both"/>
              <w:rPr>
                <w:rFonts w:ascii="Times New Roman" w:eastAsia="Times New Roman" w:hAnsi="Times New Roman" w:cs="Times New Roman"/>
                <w:sz w:val="24"/>
                <w:szCs w:val="24"/>
              </w:rPr>
            </w:pPr>
            <w:r w:rsidRPr="0067794B">
              <w:rPr>
                <w:rFonts w:ascii="Times New Roman" w:eastAsia="Times New Roman" w:hAnsi="Times New Roman" w:cs="Times New Roman"/>
                <w:sz w:val="24"/>
                <w:szCs w:val="24"/>
              </w:rPr>
              <w:t>Returned</w:t>
            </w:r>
          </w:p>
        </w:tc>
        <w:tc>
          <w:tcPr>
            <w:tcW w:w="1071" w:type="pct"/>
            <w:tcBorders>
              <w:top w:val="single" w:sz="4" w:space="0" w:color="auto"/>
              <w:left w:val="nil"/>
              <w:bottom w:val="nil"/>
              <w:right w:val="nil"/>
            </w:tcBorders>
            <w:hideMark/>
          </w:tcPr>
          <w:p w:rsidR="00C13236" w:rsidRPr="0067794B" w:rsidRDefault="00C13236" w:rsidP="000439C1">
            <w:pPr>
              <w:spacing w:after="0" w:line="240" w:lineRule="auto"/>
              <w:jc w:val="center"/>
              <w:rPr>
                <w:rFonts w:ascii="Times New Roman" w:eastAsia="Times New Roman" w:hAnsi="Times New Roman" w:cs="Times New Roman"/>
                <w:sz w:val="24"/>
                <w:szCs w:val="24"/>
              </w:rPr>
            </w:pPr>
            <w:r w:rsidRPr="0067794B">
              <w:rPr>
                <w:rFonts w:ascii="Times New Roman" w:eastAsia="Times New Roman" w:hAnsi="Times New Roman" w:cs="Times New Roman"/>
                <w:sz w:val="24"/>
                <w:szCs w:val="24"/>
              </w:rPr>
              <w:t>238</w:t>
            </w:r>
          </w:p>
        </w:tc>
        <w:tc>
          <w:tcPr>
            <w:tcW w:w="998" w:type="pct"/>
            <w:tcBorders>
              <w:top w:val="single" w:sz="4" w:space="0" w:color="auto"/>
              <w:left w:val="nil"/>
              <w:bottom w:val="nil"/>
              <w:right w:val="nil"/>
            </w:tcBorders>
            <w:hideMark/>
          </w:tcPr>
          <w:p w:rsidR="00C13236" w:rsidRPr="0067794B" w:rsidRDefault="00C13236" w:rsidP="000439C1">
            <w:pPr>
              <w:spacing w:after="0" w:line="240" w:lineRule="auto"/>
              <w:jc w:val="center"/>
              <w:rPr>
                <w:rFonts w:ascii="Times New Roman" w:eastAsia="Times New Roman" w:hAnsi="Times New Roman" w:cs="Times New Roman"/>
                <w:sz w:val="24"/>
                <w:szCs w:val="24"/>
              </w:rPr>
            </w:pPr>
            <w:r w:rsidRPr="0067794B">
              <w:rPr>
                <w:rFonts w:ascii="Times New Roman" w:eastAsia="Times New Roman" w:hAnsi="Times New Roman" w:cs="Times New Roman"/>
                <w:sz w:val="24"/>
                <w:szCs w:val="24"/>
              </w:rPr>
              <w:t>82.64%</w:t>
            </w:r>
          </w:p>
        </w:tc>
      </w:tr>
      <w:tr w:rsidR="00C13236" w:rsidRPr="0067794B" w:rsidTr="000439C1">
        <w:trPr>
          <w:trHeight w:val="360"/>
        </w:trPr>
        <w:tc>
          <w:tcPr>
            <w:tcW w:w="2931" w:type="pct"/>
            <w:tcBorders>
              <w:top w:val="nil"/>
              <w:left w:val="nil"/>
              <w:bottom w:val="single" w:sz="4" w:space="0" w:color="auto"/>
              <w:right w:val="nil"/>
            </w:tcBorders>
            <w:hideMark/>
          </w:tcPr>
          <w:p w:rsidR="00C13236" w:rsidRPr="0067794B" w:rsidRDefault="00C13236" w:rsidP="000439C1">
            <w:pPr>
              <w:spacing w:after="0" w:line="240" w:lineRule="auto"/>
              <w:jc w:val="both"/>
              <w:rPr>
                <w:rFonts w:ascii="Times New Roman" w:eastAsia="Times New Roman" w:hAnsi="Times New Roman" w:cs="Times New Roman"/>
                <w:sz w:val="24"/>
                <w:szCs w:val="24"/>
              </w:rPr>
            </w:pPr>
            <w:r w:rsidRPr="0067794B">
              <w:rPr>
                <w:rFonts w:ascii="Times New Roman" w:eastAsia="Times New Roman" w:hAnsi="Times New Roman" w:cs="Times New Roman"/>
                <w:sz w:val="24"/>
                <w:szCs w:val="24"/>
              </w:rPr>
              <w:t>Not Returned</w:t>
            </w:r>
          </w:p>
        </w:tc>
        <w:tc>
          <w:tcPr>
            <w:tcW w:w="1071" w:type="pct"/>
            <w:tcBorders>
              <w:top w:val="nil"/>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sz w:val="24"/>
                <w:szCs w:val="24"/>
              </w:rPr>
            </w:pPr>
            <w:r w:rsidRPr="0067794B">
              <w:rPr>
                <w:rFonts w:ascii="Times New Roman" w:eastAsia="Times New Roman" w:hAnsi="Times New Roman" w:cs="Times New Roman"/>
                <w:sz w:val="24"/>
                <w:szCs w:val="24"/>
              </w:rPr>
              <w:t>50</w:t>
            </w:r>
          </w:p>
        </w:tc>
        <w:tc>
          <w:tcPr>
            <w:tcW w:w="998" w:type="pct"/>
            <w:tcBorders>
              <w:top w:val="nil"/>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sz w:val="24"/>
                <w:szCs w:val="24"/>
              </w:rPr>
            </w:pPr>
            <w:r w:rsidRPr="0067794B">
              <w:rPr>
                <w:rFonts w:ascii="Times New Roman" w:eastAsia="Times New Roman" w:hAnsi="Times New Roman" w:cs="Times New Roman"/>
                <w:sz w:val="24"/>
                <w:szCs w:val="24"/>
              </w:rPr>
              <w:t>17.36%</w:t>
            </w:r>
          </w:p>
        </w:tc>
      </w:tr>
      <w:tr w:rsidR="00C13236" w:rsidRPr="0067794B" w:rsidTr="000439C1">
        <w:trPr>
          <w:trHeight w:val="360"/>
        </w:trPr>
        <w:tc>
          <w:tcPr>
            <w:tcW w:w="2931"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both"/>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 xml:space="preserve">Total </w:t>
            </w:r>
          </w:p>
        </w:tc>
        <w:tc>
          <w:tcPr>
            <w:tcW w:w="1071"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288</w:t>
            </w:r>
          </w:p>
        </w:tc>
        <w:tc>
          <w:tcPr>
            <w:tcW w:w="998"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100.00</w:t>
            </w:r>
          </w:p>
        </w:tc>
      </w:tr>
    </w:tbl>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From the returned questionnaires, it gave a response rate of 82.6% which was within what </w:t>
      </w:r>
      <w:proofErr w:type="spellStart"/>
      <w:r w:rsidRPr="0067794B">
        <w:rPr>
          <w:rFonts w:ascii="Times New Roman" w:hAnsi="Times New Roman" w:cs="Times New Roman"/>
          <w:sz w:val="24"/>
          <w:szCs w:val="24"/>
        </w:rPr>
        <w:t>Sekaran</w:t>
      </w:r>
      <w:proofErr w:type="spellEnd"/>
      <w:r w:rsidRPr="0067794B">
        <w:rPr>
          <w:rFonts w:ascii="Times New Roman" w:hAnsi="Times New Roman" w:cs="Times New Roman"/>
          <w:sz w:val="24"/>
          <w:szCs w:val="24"/>
        </w:rPr>
        <w:t xml:space="preserve"> (2003) prescribed as a significant response rate for statistical analysis and established it at a minimum value of 50%.</w:t>
      </w:r>
    </w:p>
    <w:p w:rsidR="00C13236" w:rsidRPr="0067794B" w:rsidRDefault="00C13236" w:rsidP="00C13236">
      <w:pPr>
        <w:pStyle w:val="Heading2"/>
        <w:jc w:val="both"/>
        <w:rPr>
          <w:rStyle w:val="Heading2Char"/>
          <w:rFonts w:eastAsia="MS Gothic" w:cs="Times New Roman"/>
          <w:b/>
          <w:bCs/>
          <w:szCs w:val="24"/>
        </w:rPr>
      </w:pPr>
      <w:bookmarkStart w:id="19" w:name="_Toc523134502"/>
      <w:r w:rsidRPr="0067794B">
        <w:rPr>
          <w:rFonts w:eastAsia="MS Gothic" w:cs="Times New Roman"/>
          <w:szCs w:val="24"/>
        </w:rPr>
        <w:t>4</w:t>
      </w:r>
      <w:r w:rsidRPr="0067794B">
        <w:rPr>
          <w:rStyle w:val="Heading2Char"/>
          <w:rFonts w:eastAsia="MS Gothic" w:cs="Times New Roman"/>
          <w:b/>
          <w:szCs w:val="24"/>
        </w:rPr>
        <w:t>.3 Demographic Characteristics</w:t>
      </w:r>
      <w:bookmarkEnd w:id="19"/>
    </w:p>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Both frequency and percentage was one of the statistical measures used in analysis to describe the sample in terms of their demographic characteristics such as age, educational qualifications, and level of experience, and duration in current station. Although this was not core to the study purpose, it aided the study to contextualize the findings and formulate appropriate recommendations </w:t>
      </w:r>
      <w:r>
        <w:rPr>
          <w:rFonts w:ascii="Times New Roman" w:hAnsi="Times New Roman" w:cs="Times New Roman"/>
          <w:sz w:val="24"/>
          <w:szCs w:val="24"/>
        </w:rPr>
        <w:t xml:space="preserve">on the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 xml:space="preserve">infrastructure projects in </w:t>
      </w:r>
      <w:proofErr w:type="spellStart"/>
      <w:r w:rsidRPr="009B6A0E">
        <w:rPr>
          <w:rFonts w:ascii="Times New Roman" w:hAnsi="Times New Roman" w:cs="Times New Roman"/>
          <w:sz w:val="24"/>
          <w:szCs w:val="24"/>
        </w:rPr>
        <w:t>Bomet</w:t>
      </w:r>
      <w:proofErr w:type="spellEnd"/>
      <w:r w:rsidRPr="009B6A0E">
        <w:rPr>
          <w:rFonts w:ascii="Times New Roman" w:hAnsi="Times New Roman" w:cs="Times New Roman"/>
          <w:sz w:val="24"/>
          <w:szCs w:val="24"/>
        </w:rPr>
        <w:t xml:space="preserve"> County</w:t>
      </w:r>
      <w:r w:rsidRPr="0067794B">
        <w:rPr>
          <w:rFonts w:ascii="Times New Roman" w:eastAsia="Times New Roman" w:hAnsi="Times New Roman" w:cs="Times New Roman"/>
          <w:sz w:val="24"/>
          <w:szCs w:val="24"/>
        </w:rPr>
        <w:t>, Kenya</w:t>
      </w:r>
      <w:r w:rsidRPr="0067794B">
        <w:rPr>
          <w:rFonts w:ascii="Times New Roman" w:hAnsi="Times New Roman" w:cs="Times New Roman"/>
          <w:sz w:val="24"/>
          <w:szCs w:val="24"/>
        </w:rPr>
        <w:t>.</w:t>
      </w:r>
    </w:p>
    <w:p w:rsidR="00C13236" w:rsidRPr="0067794B" w:rsidRDefault="00C13236" w:rsidP="00C13236">
      <w:pPr>
        <w:pStyle w:val="Heading3"/>
        <w:rPr>
          <w:rFonts w:cs="Times New Roman"/>
        </w:rPr>
      </w:pPr>
      <w:bookmarkStart w:id="20" w:name="_Toc512865778"/>
      <w:bookmarkStart w:id="21" w:name="_Toc512866450"/>
      <w:bookmarkStart w:id="22" w:name="_Toc512866673"/>
      <w:bookmarkStart w:id="23" w:name="_Toc512868546"/>
      <w:r w:rsidRPr="0067794B">
        <w:rPr>
          <w:rFonts w:cs="Times New Roman"/>
        </w:rPr>
        <w:t>4.3.1 Distribution of respondents by Age</w:t>
      </w:r>
      <w:bookmarkEnd w:id="20"/>
      <w:bookmarkEnd w:id="21"/>
      <w:bookmarkEnd w:id="22"/>
      <w:bookmarkEnd w:id="23"/>
      <w:r w:rsidRPr="0067794B">
        <w:rPr>
          <w:rFonts w:cs="Times New Roman"/>
        </w:rPr>
        <w:t xml:space="preserve"> </w:t>
      </w:r>
    </w:p>
    <w:p w:rsidR="00C13236" w:rsidRPr="0067794B" w:rsidRDefault="00C13236" w:rsidP="00C13236">
      <w:pPr>
        <w:spacing w:line="360" w:lineRule="auto"/>
        <w:jc w:val="both"/>
        <w:rPr>
          <w:rFonts w:ascii="Times New Roman" w:hAnsi="Times New Roman" w:cs="Times New Roman"/>
          <w:sz w:val="24"/>
          <w:szCs w:val="24"/>
        </w:rPr>
      </w:pPr>
      <w:bookmarkStart w:id="24" w:name="_Toc512865779"/>
      <w:bookmarkStart w:id="25" w:name="_Toc512866451"/>
      <w:bookmarkStart w:id="26" w:name="_Toc512866674"/>
      <w:bookmarkStart w:id="27" w:name="_Toc512868547"/>
      <w:r w:rsidRPr="0067794B">
        <w:rPr>
          <w:rFonts w:ascii="Times New Roman" w:hAnsi="Times New Roman" w:cs="Times New Roman"/>
          <w:sz w:val="24"/>
          <w:szCs w:val="24"/>
        </w:rPr>
        <w:t xml:space="preserve">The age of the respondents is of essence when it comes to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sidRPr="0067794B">
        <w:rPr>
          <w:rFonts w:ascii="Times New Roman" w:hAnsi="Times New Roman" w:cs="Times New Roman"/>
          <w:sz w:val="24"/>
          <w:szCs w:val="24"/>
        </w:rPr>
        <w:t>. The findings are indicated in Table 4.2.</w:t>
      </w:r>
      <w:bookmarkEnd w:id="24"/>
      <w:bookmarkEnd w:id="25"/>
      <w:bookmarkEnd w:id="26"/>
      <w:bookmarkEnd w:id="27"/>
    </w:p>
    <w:p w:rsidR="00C13236" w:rsidRDefault="00C13236" w:rsidP="00C13236">
      <w:pPr>
        <w:pStyle w:val="Caption"/>
        <w:keepNext/>
        <w:spacing w:line="360" w:lineRule="auto"/>
      </w:pPr>
      <w:bookmarkStart w:id="28" w:name="_Toc512865780"/>
      <w:bookmarkStart w:id="29" w:name="_Toc512868548"/>
    </w:p>
    <w:p w:rsidR="00C13236" w:rsidRPr="0067794B" w:rsidRDefault="00C13236" w:rsidP="00C13236">
      <w:pPr>
        <w:pStyle w:val="Caption"/>
        <w:keepNext/>
        <w:spacing w:line="360" w:lineRule="auto"/>
      </w:pPr>
      <w:r w:rsidRPr="0067794B">
        <w:t>Table 4.</w:t>
      </w:r>
      <w:r>
        <w:t>2</w:t>
      </w:r>
      <w:r w:rsidRPr="0067794B">
        <w:t>: Distribution of Respondents by Age Bracket</w:t>
      </w:r>
      <w:bookmarkEnd w:id="28"/>
      <w:bookmarkEnd w:id="29"/>
    </w:p>
    <w:tbl>
      <w:tblPr>
        <w:tblW w:w="0" w:type="auto"/>
        <w:tblInd w:w="198" w:type="dxa"/>
        <w:tblBorders>
          <w:top w:val="single" w:sz="8" w:space="0" w:color="000000"/>
          <w:bottom w:val="single" w:sz="8" w:space="0" w:color="000000"/>
        </w:tblBorders>
        <w:tblLook w:val="04A0" w:firstRow="1" w:lastRow="0" w:firstColumn="1" w:lastColumn="0" w:noHBand="0" w:noVBand="1"/>
      </w:tblPr>
      <w:tblGrid>
        <w:gridCol w:w="2110"/>
        <w:gridCol w:w="3210"/>
        <w:gridCol w:w="3508"/>
      </w:tblGrid>
      <w:tr w:rsidR="00C13236" w:rsidRPr="0067794B" w:rsidTr="000439C1">
        <w:trPr>
          <w:trHeight w:val="306"/>
        </w:trPr>
        <w:tc>
          <w:tcPr>
            <w:tcW w:w="2110" w:type="dxa"/>
            <w:tcBorders>
              <w:top w:val="single" w:sz="8" w:space="0" w:color="000000"/>
              <w:bottom w:val="single" w:sz="4" w:space="0" w:color="auto"/>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bookmarkStart w:id="30" w:name="_Toc512865781"/>
            <w:bookmarkStart w:id="31" w:name="_Toc512866453"/>
            <w:bookmarkStart w:id="32" w:name="_Toc512866676"/>
            <w:bookmarkStart w:id="33" w:name="_Toc512868549"/>
            <w:r w:rsidRPr="0067794B">
              <w:rPr>
                <w:rFonts w:ascii="Times New Roman" w:hAnsi="Times New Roman" w:cs="Times New Roman"/>
                <w:b/>
                <w:bCs/>
              </w:rPr>
              <w:t>Age bracket</w:t>
            </w:r>
            <w:bookmarkEnd w:id="30"/>
            <w:bookmarkEnd w:id="31"/>
            <w:bookmarkEnd w:id="32"/>
            <w:bookmarkEnd w:id="33"/>
          </w:p>
        </w:tc>
        <w:tc>
          <w:tcPr>
            <w:tcW w:w="3210" w:type="dxa"/>
            <w:tcBorders>
              <w:top w:val="single" w:sz="8" w:space="0" w:color="000000"/>
              <w:bottom w:val="single" w:sz="4" w:space="0" w:color="auto"/>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bookmarkStart w:id="34" w:name="_Toc512865782"/>
            <w:bookmarkStart w:id="35" w:name="_Toc512866454"/>
            <w:bookmarkStart w:id="36" w:name="_Toc512866677"/>
            <w:bookmarkStart w:id="37" w:name="_Toc512868550"/>
            <w:r w:rsidRPr="0067794B">
              <w:rPr>
                <w:rFonts w:ascii="Times New Roman" w:hAnsi="Times New Roman" w:cs="Times New Roman"/>
                <w:b/>
              </w:rPr>
              <w:t>Frequency</w:t>
            </w:r>
            <w:bookmarkEnd w:id="34"/>
            <w:bookmarkEnd w:id="35"/>
            <w:bookmarkEnd w:id="36"/>
            <w:bookmarkEnd w:id="37"/>
          </w:p>
        </w:tc>
        <w:tc>
          <w:tcPr>
            <w:tcW w:w="3508" w:type="dxa"/>
            <w:tcBorders>
              <w:top w:val="single" w:sz="8" w:space="0" w:color="000000"/>
              <w:bottom w:val="single" w:sz="4" w:space="0" w:color="auto"/>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bookmarkStart w:id="38" w:name="_Toc512865783"/>
            <w:bookmarkStart w:id="39" w:name="_Toc512866455"/>
            <w:bookmarkStart w:id="40" w:name="_Toc512866678"/>
            <w:bookmarkStart w:id="41" w:name="_Toc512868551"/>
            <w:r w:rsidRPr="0067794B">
              <w:rPr>
                <w:rFonts w:ascii="Times New Roman" w:hAnsi="Times New Roman" w:cs="Times New Roman"/>
                <w:b/>
              </w:rPr>
              <w:t>Percentage</w:t>
            </w:r>
            <w:bookmarkEnd w:id="38"/>
            <w:bookmarkEnd w:id="39"/>
            <w:bookmarkEnd w:id="40"/>
            <w:bookmarkEnd w:id="41"/>
          </w:p>
        </w:tc>
      </w:tr>
      <w:tr w:rsidR="00C13236" w:rsidRPr="0067794B" w:rsidTr="000439C1">
        <w:trPr>
          <w:trHeight w:val="306"/>
        </w:trPr>
        <w:tc>
          <w:tcPr>
            <w:tcW w:w="2110" w:type="dxa"/>
            <w:tcBorders>
              <w:top w:val="single" w:sz="4" w:space="0" w:color="auto"/>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bookmarkStart w:id="42" w:name="_Toc512865784"/>
            <w:bookmarkStart w:id="43" w:name="_Toc512866456"/>
            <w:bookmarkStart w:id="44" w:name="_Toc512866679"/>
            <w:bookmarkStart w:id="45" w:name="_Toc512868552"/>
            <w:r>
              <w:rPr>
                <w:rFonts w:ascii="Times New Roman" w:hAnsi="Times New Roman" w:cs="Times New Roman"/>
                <w:b/>
                <w:bCs/>
              </w:rPr>
              <w:lastRenderedPageBreak/>
              <w:t>18</w:t>
            </w:r>
            <w:r w:rsidRPr="0067794B">
              <w:rPr>
                <w:rFonts w:ascii="Times New Roman" w:hAnsi="Times New Roman" w:cs="Times New Roman"/>
                <w:b/>
                <w:bCs/>
              </w:rPr>
              <w:t>-</w:t>
            </w:r>
            <w:bookmarkEnd w:id="42"/>
            <w:bookmarkEnd w:id="43"/>
            <w:bookmarkEnd w:id="44"/>
            <w:bookmarkEnd w:id="45"/>
            <w:r>
              <w:rPr>
                <w:rFonts w:ascii="Times New Roman" w:hAnsi="Times New Roman" w:cs="Times New Roman"/>
                <w:b/>
                <w:bCs/>
              </w:rPr>
              <w:t>29</w:t>
            </w:r>
            <w:r w:rsidRPr="0067794B">
              <w:rPr>
                <w:rFonts w:ascii="Times New Roman" w:hAnsi="Times New Roman" w:cs="Times New Roman"/>
                <w:b/>
                <w:bCs/>
              </w:rPr>
              <w:t xml:space="preserve"> years</w:t>
            </w:r>
          </w:p>
        </w:tc>
        <w:tc>
          <w:tcPr>
            <w:tcW w:w="3210" w:type="dxa"/>
            <w:tcBorders>
              <w:top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66</w:t>
            </w:r>
          </w:p>
        </w:tc>
        <w:tc>
          <w:tcPr>
            <w:tcW w:w="3508" w:type="dxa"/>
            <w:tcBorders>
              <w:top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27.73</w:t>
            </w:r>
          </w:p>
        </w:tc>
      </w:tr>
      <w:tr w:rsidR="00C13236" w:rsidRPr="0067794B" w:rsidTr="000439C1">
        <w:trPr>
          <w:trHeight w:val="323"/>
        </w:trPr>
        <w:tc>
          <w:tcPr>
            <w:tcW w:w="2110" w:type="dxa"/>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bookmarkStart w:id="46" w:name="_Toc512865787"/>
            <w:bookmarkStart w:id="47" w:name="_Toc512866459"/>
            <w:bookmarkStart w:id="48" w:name="_Toc512866682"/>
            <w:bookmarkStart w:id="49" w:name="_Toc512868555"/>
            <w:r>
              <w:rPr>
                <w:rFonts w:ascii="Times New Roman" w:hAnsi="Times New Roman" w:cs="Times New Roman"/>
                <w:b/>
                <w:bCs/>
              </w:rPr>
              <w:t>30</w:t>
            </w:r>
            <w:r w:rsidRPr="0067794B">
              <w:rPr>
                <w:rFonts w:ascii="Times New Roman" w:hAnsi="Times New Roman" w:cs="Times New Roman"/>
                <w:b/>
                <w:bCs/>
              </w:rPr>
              <w:t>-</w:t>
            </w:r>
            <w:bookmarkEnd w:id="46"/>
            <w:bookmarkEnd w:id="47"/>
            <w:bookmarkEnd w:id="48"/>
            <w:bookmarkEnd w:id="49"/>
            <w:r w:rsidRPr="0067794B">
              <w:rPr>
                <w:rFonts w:ascii="Times New Roman" w:hAnsi="Times New Roman" w:cs="Times New Roman"/>
                <w:b/>
                <w:bCs/>
              </w:rPr>
              <w:t>39 years</w:t>
            </w:r>
          </w:p>
        </w:tc>
        <w:tc>
          <w:tcPr>
            <w:tcW w:w="3210"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78</w:t>
            </w:r>
          </w:p>
        </w:tc>
        <w:tc>
          <w:tcPr>
            <w:tcW w:w="3508"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32.77</w:t>
            </w:r>
          </w:p>
        </w:tc>
      </w:tr>
      <w:tr w:rsidR="00C13236" w:rsidRPr="0067794B" w:rsidTr="000439C1">
        <w:trPr>
          <w:trHeight w:val="306"/>
        </w:trPr>
        <w:tc>
          <w:tcPr>
            <w:tcW w:w="2110" w:type="dxa"/>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40-49</w:t>
            </w:r>
            <w:r w:rsidRPr="0067794B">
              <w:rPr>
                <w:rFonts w:ascii="Times New Roman" w:hAnsi="Times New Roman" w:cs="Times New Roman"/>
                <w:b/>
                <w:bCs/>
              </w:rPr>
              <w:t xml:space="preserve"> years</w:t>
            </w:r>
          </w:p>
        </w:tc>
        <w:tc>
          <w:tcPr>
            <w:tcW w:w="3210"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45</w:t>
            </w:r>
          </w:p>
        </w:tc>
        <w:tc>
          <w:tcPr>
            <w:tcW w:w="3508"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18.91</w:t>
            </w:r>
          </w:p>
        </w:tc>
      </w:tr>
      <w:tr w:rsidR="00C13236" w:rsidRPr="0067794B" w:rsidTr="000439C1">
        <w:trPr>
          <w:trHeight w:val="306"/>
        </w:trPr>
        <w:tc>
          <w:tcPr>
            <w:tcW w:w="2110" w:type="dxa"/>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50-59</w:t>
            </w:r>
            <w:r w:rsidRPr="0067794B">
              <w:rPr>
                <w:rFonts w:ascii="Times New Roman" w:hAnsi="Times New Roman" w:cs="Times New Roman"/>
                <w:b/>
                <w:bCs/>
              </w:rPr>
              <w:t xml:space="preserve"> years</w:t>
            </w:r>
          </w:p>
        </w:tc>
        <w:tc>
          <w:tcPr>
            <w:tcW w:w="3210"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47</w:t>
            </w:r>
          </w:p>
        </w:tc>
        <w:tc>
          <w:tcPr>
            <w:tcW w:w="3508"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19.75</w:t>
            </w:r>
          </w:p>
        </w:tc>
      </w:tr>
      <w:tr w:rsidR="00C13236" w:rsidRPr="0067794B" w:rsidTr="000439C1">
        <w:trPr>
          <w:trHeight w:val="306"/>
        </w:trPr>
        <w:tc>
          <w:tcPr>
            <w:tcW w:w="2110" w:type="dxa"/>
            <w:tcBorders>
              <w:bottom w:val="single" w:sz="4" w:space="0" w:color="auto"/>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bookmarkStart w:id="50" w:name="_Toc512865793"/>
            <w:bookmarkStart w:id="51" w:name="_Toc512866465"/>
            <w:bookmarkStart w:id="52" w:name="_Toc512866688"/>
            <w:bookmarkStart w:id="53" w:name="_Toc512868561"/>
            <w:r>
              <w:rPr>
                <w:rFonts w:ascii="Times New Roman" w:hAnsi="Times New Roman" w:cs="Times New Roman"/>
                <w:b/>
                <w:bCs/>
              </w:rPr>
              <w:t>6</w:t>
            </w:r>
            <w:r w:rsidRPr="0067794B">
              <w:rPr>
                <w:rFonts w:ascii="Times New Roman" w:hAnsi="Times New Roman" w:cs="Times New Roman"/>
                <w:b/>
                <w:bCs/>
              </w:rPr>
              <w:t>0 years and above</w:t>
            </w:r>
            <w:bookmarkEnd w:id="50"/>
            <w:bookmarkEnd w:id="51"/>
            <w:bookmarkEnd w:id="52"/>
            <w:bookmarkEnd w:id="53"/>
          </w:p>
        </w:tc>
        <w:tc>
          <w:tcPr>
            <w:tcW w:w="3210" w:type="dxa"/>
            <w:tcBorders>
              <w:bottom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2</w:t>
            </w:r>
          </w:p>
        </w:tc>
        <w:tc>
          <w:tcPr>
            <w:tcW w:w="3508" w:type="dxa"/>
            <w:tcBorders>
              <w:bottom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0.84</w:t>
            </w:r>
          </w:p>
        </w:tc>
      </w:tr>
      <w:tr w:rsidR="00C13236" w:rsidRPr="0067794B" w:rsidTr="000439C1">
        <w:trPr>
          <w:trHeight w:val="306"/>
        </w:trPr>
        <w:tc>
          <w:tcPr>
            <w:tcW w:w="2110" w:type="dxa"/>
            <w:tcBorders>
              <w:top w:val="single" w:sz="4" w:space="0" w:color="auto"/>
              <w:bottom w:val="single" w:sz="8" w:space="0" w:color="000000"/>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bookmarkStart w:id="54" w:name="_Toc512865796"/>
            <w:bookmarkStart w:id="55" w:name="_Toc512866468"/>
            <w:bookmarkStart w:id="56" w:name="_Toc512866691"/>
            <w:bookmarkStart w:id="57" w:name="_Toc512868564"/>
            <w:r w:rsidRPr="0067794B">
              <w:rPr>
                <w:rFonts w:ascii="Times New Roman" w:hAnsi="Times New Roman" w:cs="Times New Roman"/>
                <w:b/>
                <w:bCs/>
              </w:rPr>
              <w:t>Total</w:t>
            </w:r>
            <w:bookmarkEnd w:id="54"/>
            <w:bookmarkEnd w:id="55"/>
            <w:bookmarkEnd w:id="56"/>
            <w:bookmarkEnd w:id="57"/>
          </w:p>
        </w:tc>
        <w:tc>
          <w:tcPr>
            <w:tcW w:w="3210" w:type="dxa"/>
            <w:tcBorders>
              <w:top w:val="single" w:sz="4" w:space="0" w:color="auto"/>
              <w:bottom w:val="single" w:sz="8" w:space="0" w:color="000000"/>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r w:rsidRPr="0067794B">
              <w:rPr>
                <w:rFonts w:ascii="Times New Roman" w:hAnsi="Times New Roman" w:cs="Times New Roman"/>
                <w:b/>
              </w:rPr>
              <w:t>238</w:t>
            </w:r>
          </w:p>
        </w:tc>
        <w:tc>
          <w:tcPr>
            <w:tcW w:w="3508" w:type="dxa"/>
            <w:tcBorders>
              <w:top w:val="single" w:sz="4" w:space="0" w:color="auto"/>
              <w:bottom w:val="single" w:sz="8" w:space="0" w:color="000000"/>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r w:rsidRPr="0067794B">
              <w:rPr>
                <w:rFonts w:ascii="Times New Roman" w:hAnsi="Times New Roman" w:cs="Times New Roman"/>
                <w:b/>
              </w:rPr>
              <w:t>100</w:t>
            </w:r>
          </w:p>
        </w:tc>
      </w:tr>
    </w:tbl>
    <w:p w:rsidR="00C13236" w:rsidRPr="00145EAE" w:rsidRDefault="00C13236" w:rsidP="00C13236">
      <w:pPr>
        <w:rPr>
          <w:rFonts w:ascii="Times New Roman" w:hAnsi="Times New Roman" w:cs="Times New Roman"/>
          <w:sz w:val="24"/>
          <w:szCs w:val="24"/>
        </w:rPr>
      </w:pPr>
    </w:p>
    <w:p w:rsidR="00C13236" w:rsidRPr="00145EAE" w:rsidRDefault="00C13236" w:rsidP="00C13236">
      <w:pPr>
        <w:spacing w:line="360" w:lineRule="auto"/>
        <w:jc w:val="both"/>
        <w:rPr>
          <w:rFonts w:ascii="Times New Roman" w:hAnsi="Times New Roman" w:cs="Times New Roman"/>
          <w:sz w:val="24"/>
          <w:szCs w:val="24"/>
        </w:rPr>
      </w:pPr>
      <w:r w:rsidRPr="00145EAE">
        <w:rPr>
          <w:rFonts w:ascii="Times New Roman" w:hAnsi="Times New Roman" w:cs="Times New Roman"/>
          <w:sz w:val="24"/>
          <w:szCs w:val="24"/>
        </w:rPr>
        <w:t xml:space="preserve">Table 4.2 indicates that 32.8 percent of the studied respondents were who were the majority were of age bracket 30-39 years, followed by those who were aged between 18 and 29 years who were approximately 27.7 percent. The 50-59 years age category had 19.8 percent whereas 18.9 percent was those respondents who were aged 40-49 years.  It is also to be noted that the percentage of the respondents above the age of 60 years was only 0.84 percent which was less than one percent. </w:t>
      </w:r>
      <w:r>
        <w:rPr>
          <w:rFonts w:ascii="Times New Roman" w:hAnsi="Times New Roman" w:cs="Times New Roman"/>
          <w:sz w:val="24"/>
          <w:szCs w:val="24"/>
        </w:rPr>
        <w:t>The</w:t>
      </w:r>
      <w:r w:rsidRPr="00145EAE">
        <w:rPr>
          <w:rFonts w:ascii="Times New Roman" w:hAnsi="Times New Roman" w:cs="Times New Roman"/>
          <w:sz w:val="24"/>
          <w:szCs w:val="24"/>
        </w:rPr>
        <w:t>s</w:t>
      </w:r>
      <w:r>
        <w:rPr>
          <w:rFonts w:ascii="Times New Roman" w:hAnsi="Times New Roman" w:cs="Times New Roman"/>
          <w:sz w:val="24"/>
          <w:szCs w:val="24"/>
        </w:rPr>
        <w:t>e</w:t>
      </w:r>
      <w:r w:rsidRPr="00145EAE">
        <w:rPr>
          <w:rFonts w:ascii="Times New Roman" w:hAnsi="Times New Roman" w:cs="Times New Roman"/>
          <w:sz w:val="24"/>
          <w:szCs w:val="24"/>
        </w:rPr>
        <w:t xml:space="preserve"> observations showed that, majority of the </w:t>
      </w:r>
      <w:r w:rsidRPr="0067794B">
        <w:rPr>
          <w:rFonts w:ascii="Times New Roman" w:hAnsi="Times New Roman" w:cs="Times New Roman"/>
          <w:sz w:val="24"/>
          <w:szCs w:val="24"/>
        </w:rPr>
        <w:t xml:space="preserve">respondents </w:t>
      </w:r>
      <w:r w:rsidRPr="00145EAE">
        <w:rPr>
          <w:rFonts w:ascii="Times New Roman" w:hAnsi="Times New Roman" w:cs="Times New Roman"/>
          <w:sz w:val="24"/>
          <w:szCs w:val="24"/>
        </w:rPr>
        <w:t>were mature adults that could aid</w:t>
      </w:r>
      <w:r>
        <w:rPr>
          <w:rFonts w:ascii="Times New Roman" w:hAnsi="Times New Roman" w:cs="Times New Roman"/>
          <w:sz w:val="24"/>
          <w:szCs w:val="24"/>
        </w:rPr>
        <w:t xml:space="preserve"> in the</w:t>
      </w:r>
      <w:r w:rsidRPr="00145EAE">
        <w:rPr>
          <w:rFonts w:ascii="Times New Roman" w:hAnsi="Times New Roman" w:cs="Times New Roman"/>
          <w:sz w:val="24"/>
          <w:szCs w:val="24"/>
        </w:rPr>
        <w:t xml:space="preserv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sidRPr="00145EAE">
        <w:rPr>
          <w:rFonts w:ascii="Times New Roman" w:hAnsi="Times New Roman" w:cs="Times New Roman"/>
          <w:sz w:val="24"/>
          <w:szCs w:val="24"/>
        </w:rPr>
        <w:t xml:space="preserve">. </w:t>
      </w:r>
    </w:p>
    <w:p w:rsidR="00C13236" w:rsidRPr="0067794B" w:rsidRDefault="00C13236" w:rsidP="00C13236">
      <w:pPr>
        <w:pStyle w:val="Heading3"/>
        <w:rPr>
          <w:rFonts w:cs="Times New Roman"/>
        </w:rPr>
      </w:pPr>
      <w:r w:rsidRPr="0067794B">
        <w:rPr>
          <w:rFonts w:cs="Times New Roman"/>
        </w:rPr>
        <w:t xml:space="preserve">4.3.2 Distribution of Participants by Level of Education </w:t>
      </w:r>
    </w:p>
    <w:p w:rsidR="00C13236" w:rsidRPr="0067794B" w:rsidRDefault="00C13236" w:rsidP="00C13236">
      <w:pPr>
        <w:spacing w:line="360" w:lineRule="auto"/>
        <w:jc w:val="both"/>
        <w:rPr>
          <w:rFonts w:ascii="Times New Roman" w:hAnsi="Times New Roman" w:cs="Times New Roman"/>
          <w:sz w:val="24"/>
          <w:szCs w:val="24"/>
        </w:rPr>
      </w:pPr>
      <w:bookmarkStart w:id="58" w:name="_Toc512865802"/>
      <w:bookmarkStart w:id="59" w:name="_Toc512868570"/>
      <w:r w:rsidRPr="0067794B">
        <w:rPr>
          <w:rFonts w:ascii="Times New Roman" w:hAnsi="Times New Roman" w:cs="Times New Roman"/>
          <w:sz w:val="24"/>
          <w:szCs w:val="24"/>
        </w:rPr>
        <w:t xml:space="preserve">The education level attained by the sampled respondents is important in that it plays a vital role in the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sidRPr="0067794B">
        <w:rPr>
          <w:rFonts w:ascii="Times New Roman" w:hAnsi="Times New Roman" w:cs="Times New Roman"/>
          <w:sz w:val="24"/>
          <w:szCs w:val="24"/>
        </w:rPr>
        <w:t>. The results are indicated in Table 4.3.</w:t>
      </w:r>
    </w:p>
    <w:p w:rsidR="00C13236" w:rsidRPr="0067794B" w:rsidRDefault="00C13236" w:rsidP="00C13236">
      <w:pPr>
        <w:pStyle w:val="Caption"/>
        <w:keepNext/>
        <w:spacing w:line="360" w:lineRule="auto"/>
      </w:pPr>
      <w:r w:rsidRPr="0067794B">
        <w:t>Table 4.3: Distribution of Respondents by Education Level</w:t>
      </w:r>
      <w:bookmarkEnd w:id="58"/>
      <w:bookmarkEnd w:id="59"/>
    </w:p>
    <w:tbl>
      <w:tblPr>
        <w:tblW w:w="5000" w:type="pct"/>
        <w:tblBorders>
          <w:top w:val="single" w:sz="8" w:space="0" w:color="000000"/>
          <w:bottom w:val="single" w:sz="8" w:space="0" w:color="000000"/>
        </w:tblBorders>
        <w:shd w:val="clear" w:color="auto" w:fill="FFFFFF"/>
        <w:tblLook w:val="04A0" w:firstRow="1" w:lastRow="0" w:firstColumn="1" w:lastColumn="0" w:noHBand="0" w:noVBand="1"/>
      </w:tblPr>
      <w:tblGrid>
        <w:gridCol w:w="3069"/>
        <w:gridCol w:w="3239"/>
        <w:gridCol w:w="2426"/>
        <w:gridCol w:w="292"/>
      </w:tblGrid>
      <w:tr w:rsidR="00C13236" w:rsidRPr="0067794B" w:rsidTr="000439C1">
        <w:trPr>
          <w:trHeight w:val="407"/>
        </w:trPr>
        <w:tc>
          <w:tcPr>
            <w:tcW w:w="1700" w:type="pct"/>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sidRPr="0067794B">
              <w:rPr>
                <w:rFonts w:ascii="Times New Roman" w:hAnsi="Times New Roman" w:cs="Times New Roman"/>
                <w:b/>
                <w:bCs/>
                <w:sz w:val="24"/>
                <w:szCs w:val="24"/>
              </w:rPr>
              <w:t>Educational qualification</w:t>
            </w:r>
          </w:p>
        </w:tc>
        <w:tc>
          <w:tcPr>
            <w:tcW w:w="1794" w:type="pct"/>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sz w:val="24"/>
                <w:szCs w:val="24"/>
              </w:rPr>
            </w:pPr>
            <w:r w:rsidRPr="0067794B">
              <w:rPr>
                <w:rFonts w:ascii="Times New Roman" w:hAnsi="Times New Roman" w:cs="Times New Roman"/>
                <w:b/>
                <w:sz w:val="24"/>
                <w:szCs w:val="24"/>
              </w:rPr>
              <w:t xml:space="preserve">       Frequency</w:t>
            </w:r>
          </w:p>
        </w:tc>
        <w:tc>
          <w:tcPr>
            <w:tcW w:w="1344" w:type="pct"/>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sz w:val="24"/>
                <w:szCs w:val="24"/>
              </w:rPr>
            </w:pPr>
            <w:r w:rsidRPr="0067794B">
              <w:rPr>
                <w:rFonts w:ascii="Times New Roman" w:hAnsi="Times New Roman" w:cs="Times New Roman"/>
                <w:b/>
                <w:sz w:val="24"/>
                <w:szCs w:val="24"/>
              </w:rPr>
              <w:t>Percent</w:t>
            </w:r>
          </w:p>
        </w:tc>
        <w:tc>
          <w:tcPr>
            <w:tcW w:w="162" w:type="pct"/>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r w:rsidR="00C13236" w:rsidRPr="0067794B" w:rsidTr="000439C1">
        <w:trPr>
          <w:trHeight w:val="385"/>
        </w:trPr>
        <w:tc>
          <w:tcPr>
            <w:tcW w:w="1700" w:type="pct"/>
            <w:tcBorders>
              <w:top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Cs/>
                <w:sz w:val="24"/>
                <w:szCs w:val="24"/>
              </w:rPr>
            </w:pPr>
            <w:r w:rsidRPr="0067794B">
              <w:rPr>
                <w:rFonts w:ascii="Times New Roman" w:hAnsi="Times New Roman" w:cs="Times New Roman"/>
                <w:bCs/>
                <w:sz w:val="24"/>
                <w:szCs w:val="24"/>
              </w:rPr>
              <w:t>No formal education</w:t>
            </w:r>
          </w:p>
        </w:tc>
        <w:tc>
          <w:tcPr>
            <w:tcW w:w="1794" w:type="pct"/>
            <w:tcBorders>
              <w:top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w:t>
            </w:r>
          </w:p>
        </w:tc>
        <w:tc>
          <w:tcPr>
            <w:tcW w:w="1344" w:type="pct"/>
            <w:tcBorders>
              <w:top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w:t>
            </w:r>
          </w:p>
        </w:tc>
        <w:tc>
          <w:tcPr>
            <w:tcW w:w="162" w:type="pct"/>
            <w:tcBorders>
              <w:top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r w:rsidR="00C13236" w:rsidRPr="0067794B" w:rsidTr="000439C1">
        <w:trPr>
          <w:trHeight w:val="407"/>
        </w:trPr>
        <w:tc>
          <w:tcPr>
            <w:tcW w:w="1700" w:type="pct"/>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Cs/>
                <w:sz w:val="24"/>
                <w:szCs w:val="24"/>
              </w:rPr>
            </w:pPr>
            <w:r w:rsidRPr="0067794B">
              <w:rPr>
                <w:rFonts w:ascii="Times New Roman" w:hAnsi="Times New Roman" w:cs="Times New Roman"/>
                <w:bCs/>
                <w:sz w:val="24"/>
                <w:szCs w:val="24"/>
              </w:rPr>
              <w:t xml:space="preserve">Primary education level </w:t>
            </w:r>
          </w:p>
        </w:tc>
        <w:tc>
          <w:tcPr>
            <w:tcW w:w="1794" w:type="pct"/>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w:t>
            </w:r>
          </w:p>
        </w:tc>
        <w:tc>
          <w:tcPr>
            <w:tcW w:w="1344" w:type="pct"/>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9.24</w:t>
            </w:r>
          </w:p>
        </w:tc>
        <w:tc>
          <w:tcPr>
            <w:tcW w:w="162" w:type="pct"/>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r w:rsidR="00C13236" w:rsidRPr="0067794B" w:rsidTr="000439C1">
        <w:trPr>
          <w:trHeight w:val="385"/>
        </w:trPr>
        <w:tc>
          <w:tcPr>
            <w:tcW w:w="1700" w:type="pct"/>
            <w:tcBorders>
              <w:bottom w:val="nil"/>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Cs/>
                <w:sz w:val="24"/>
                <w:szCs w:val="24"/>
              </w:rPr>
            </w:pPr>
            <w:r w:rsidRPr="0067794B">
              <w:rPr>
                <w:rFonts w:ascii="Times New Roman" w:hAnsi="Times New Roman" w:cs="Times New Roman"/>
                <w:bCs/>
                <w:sz w:val="24"/>
                <w:szCs w:val="24"/>
              </w:rPr>
              <w:t>Secondary education level</w:t>
            </w:r>
          </w:p>
        </w:tc>
        <w:tc>
          <w:tcPr>
            <w:tcW w:w="1794" w:type="pct"/>
            <w:tcBorders>
              <w:bottom w:val="nil"/>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51</w:t>
            </w:r>
          </w:p>
        </w:tc>
        <w:tc>
          <w:tcPr>
            <w:tcW w:w="1344" w:type="pct"/>
            <w:tcBorders>
              <w:bottom w:val="nil"/>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21.42</w:t>
            </w:r>
          </w:p>
        </w:tc>
        <w:tc>
          <w:tcPr>
            <w:tcW w:w="162" w:type="pct"/>
            <w:tcBorders>
              <w:bottom w:val="nil"/>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r w:rsidR="00C13236" w:rsidRPr="0067794B" w:rsidTr="000439C1">
        <w:trPr>
          <w:trHeight w:val="407"/>
        </w:trPr>
        <w:tc>
          <w:tcPr>
            <w:tcW w:w="1700" w:type="pct"/>
            <w:tcBorders>
              <w:top w:val="nil"/>
              <w:bottom w:val="nil"/>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College/U</w:t>
            </w:r>
            <w:r w:rsidRPr="0067794B">
              <w:rPr>
                <w:rFonts w:ascii="Times New Roman" w:hAnsi="Times New Roman" w:cs="Times New Roman"/>
                <w:bCs/>
                <w:sz w:val="24"/>
                <w:szCs w:val="24"/>
              </w:rPr>
              <w:t>ndergraduate level</w:t>
            </w:r>
          </w:p>
        </w:tc>
        <w:tc>
          <w:tcPr>
            <w:tcW w:w="1794" w:type="pct"/>
            <w:tcBorders>
              <w:top w:val="nil"/>
              <w:bottom w:val="nil"/>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89</w:t>
            </w:r>
          </w:p>
        </w:tc>
        <w:tc>
          <w:tcPr>
            <w:tcW w:w="1344" w:type="pct"/>
            <w:tcBorders>
              <w:top w:val="nil"/>
              <w:bottom w:val="nil"/>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37.39</w:t>
            </w:r>
          </w:p>
        </w:tc>
        <w:tc>
          <w:tcPr>
            <w:tcW w:w="162" w:type="pct"/>
            <w:tcBorders>
              <w:top w:val="nil"/>
              <w:bottom w:val="nil"/>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r w:rsidR="00C13236" w:rsidRPr="0067794B" w:rsidTr="000439C1">
        <w:trPr>
          <w:trHeight w:val="407"/>
        </w:trPr>
        <w:tc>
          <w:tcPr>
            <w:tcW w:w="1700" w:type="pct"/>
            <w:tcBorders>
              <w:top w:val="nil"/>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Cs/>
                <w:sz w:val="24"/>
                <w:szCs w:val="24"/>
              </w:rPr>
            </w:pPr>
            <w:r w:rsidRPr="0067794B">
              <w:rPr>
                <w:rFonts w:ascii="Times New Roman" w:hAnsi="Times New Roman" w:cs="Times New Roman"/>
                <w:bCs/>
                <w:sz w:val="24"/>
                <w:szCs w:val="24"/>
              </w:rPr>
              <w:t>Post graduate level</w:t>
            </w:r>
          </w:p>
        </w:tc>
        <w:tc>
          <w:tcPr>
            <w:tcW w:w="1794" w:type="pct"/>
            <w:tcBorders>
              <w:top w:val="nil"/>
              <w:bottom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76</w:t>
            </w:r>
          </w:p>
        </w:tc>
        <w:tc>
          <w:tcPr>
            <w:tcW w:w="1344" w:type="pct"/>
            <w:tcBorders>
              <w:top w:val="nil"/>
              <w:bottom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31.93</w:t>
            </w:r>
          </w:p>
        </w:tc>
        <w:tc>
          <w:tcPr>
            <w:tcW w:w="162" w:type="pct"/>
            <w:tcBorders>
              <w:top w:val="nil"/>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r w:rsidR="00C13236" w:rsidRPr="0067794B" w:rsidTr="000439C1">
        <w:trPr>
          <w:trHeight w:val="385"/>
        </w:trPr>
        <w:tc>
          <w:tcPr>
            <w:tcW w:w="1700" w:type="pct"/>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sidRPr="0067794B">
              <w:rPr>
                <w:rFonts w:ascii="Times New Roman" w:hAnsi="Times New Roman" w:cs="Times New Roman"/>
                <w:b/>
                <w:bCs/>
                <w:sz w:val="24"/>
                <w:szCs w:val="24"/>
              </w:rPr>
              <w:t>Total</w:t>
            </w:r>
          </w:p>
        </w:tc>
        <w:tc>
          <w:tcPr>
            <w:tcW w:w="1794" w:type="pct"/>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sz w:val="24"/>
                <w:szCs w:val="24"/>
              </w:rPr>
            </w:pPr>
            <w:r w:rsidRPr="0067794B">
              <w:rPr>
                <w:rFonts w:ascii="Times New Roman" w:hAnsi="Times New Roman" w:cs="Times New Roman"/>
                <w:b/>
                <w:sz w:val="24"/>
                <w:szCs w:val="24"/>
              </w:rPr>
              <w:t>238</w:t>
            </w:r>
          </w:p>
        </w:tc>
        <w:tc>
          <w:tcPr>
            <w:tcW w:w="1344" w:type="pct"/>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sz w:val="24"/>
                <w:szCs w:val="24"/>
              </w:rPr>
            </w:pPr>
            <w:r w:rsidRPr="0067794B">
              <w:rPr>
                <w:rFonts w:ascii="Times New Roman" w:hAnsi="Times New Roman" w:cs="Times New Roman"/>
                <w:b/>
                <w:sz w:val="24"/>
                <w:szCs w:val="24"/>
              </w:rPr>
              <w:t>100</w:t>
            </w:r>
          </w:p>
        </w:tc>
        <w:tc>
          <w:tcPr>
            <w:tcW w:w="162" w:type="pct"/>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sz w:val="24"/>
                <w:szCs w:val="24"/>
              </w:rPr>
            </w:pPr>
          </w:p>
        </w:tc>
      </w:tr>
    </w:tbl>
    <w:p w:rsidR="00C13236" w:rsidRPr="0067794B" w:rsidRDefault="00C13236" w:rsidP="00C13236">
      <w:pPr>
        <w:autoSpaceDE w:val="0"/>
        <w:autoSpaceDN w:val="0"/>
        <w:adjustRightInd w:val="0"/>
        <w:spacing w:after="0" w:line="360" w:lineRule="auto"/>
        <w:jc w:val="both"/>
        <w:rPr>
          <w:rFonts w:ascii="Times New Roman" w:hAnsi="Times New Roman" w:cs="Times New Roman"/>
        </w:rPr>
      </w:pPr>
    </w:p>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Results indicate</w:t>
      </w:r>
      <w:r>
        <w:rPr>
          <w:rFonts w:ascii="Times New Roman" w:hAnsi="Times New Roman" w:cs="Times New Roman"/>
          <w:sz w:val="24"/>
          <w:szCs w:val="24"/>
        </w:rPr>
        <w:t xml:space="preserve"> that</w:t>
      </w:r>
      <w:r w:rsidRPr="00317BD4">
        <w:rPr>
          <w:rFonts w:ascii="Times New Roman" w:hAnsi="Times New Roman" w:cs="Times New Roman"/>
          <w:sz w:val="24"/>
          <w:szCs w:val="24"/>
        </w:rPr>
        <w:t xml:space="preserve"> </w:t>
      </w:r>
      <w:r w:rsidRPr="0067794B">
        <w:rPr>
          <w:rFonts w:ascii="Times New Roman" w:hAnsi="Times New Roman" w:cs="Times New Roman"/>
          <w:sz w:val="24"/>
          <w:szCs w:val="24"/>
        </w:rPr>
        <w:t>majority of the respondents had a basic education whereby that</w:t>
      </w:r>
      <w:r>
        <w:rPr>
          <w:rFonts w:ascii="Times New Roman" w:hAnsi="Times New Roman" w:cs="Times New Roman"/>
          <w:sz w:val="24"/>
          <w:szCs w:val="24"/>
        </w:rPr>
        <w:t xml:space="preserve"> 9.24 percent of the respondents had primary school level education. The findings further showed that </w:t>
      </w:r>
      <w:r w:rsidRPr="0067794B">
        <w:rPr>
          <w:rFonts w:ascii="Times New Roman" w:hAnsi="Times New Roman" w:cs="Times New Roman"/>
          <w:sz w:val="24"/>
          <w:szCs w:val="24"/>
        </w:rPr>
        <w:t>approximately 21.4 percent had attained up to secondary education level, with 50.84 percent</w:t>
      </w:r>
      <w:r>
        <w:rPr>
          <w:rFonts w:ascii="Times New Roman" w:hAnsi="Times New Roman" w:cs="Times New Roman"/>
          <w:sz w:val="24"/>
          <w:szCs w:val="24"/>
        </w:rPr>
        <w:t xml:space="preserve"> having</w:t>
      </w:r>
      <w:r w:rsidRPr="0067794B">
        <w:rPr>
          <w:rFonts w:ascii="Times New Roman" w:hAnsi="Times New Roman" w:cs="Times New Roman"/>
          <w:sz w:val="24"/>
          <w:szCs w:val="24"/>
        </w:rPr>
        <w:t xml:space="preserve"> undergraduate level of education. Only 3</w:t>
      </w:r>
      <w:r>
        <w:rPr>
          <w:rFonts w:ascii="Times New Roman" w:hAnsi="Times New Roman" w:cs="Times New Roman"/>
          <w:sz w:val="24"/>
          <w:szCs w:val="24"/>
        </w:rPr>
        <w:t>7.39</w:t>
      </w:r>
      <w:r w:rsidRPr="0067794B">
        <w:rPr>
          <w:rFonts w:ascii="Times New Roman" w:hAnsi="Times New Roman" w:cs="Times New Roman"/>
          <w:sz w:val="24"/>
          <w:szCs w:val="24"/>
        </w:rPr>
        <w:t xml:space="preserve"> percent had </w:t>
      </w:r>
      <w:r>
        <w:rPr>
          <w:rFonts w:ascii="Times New Roman" w:hAnsi="Times New Roman" w:cs="Times New Roman"/>
          <w:sz w:val="24"/>
          <w:szCs w:val="24"/>
        </w:rPr>
        <w:t xml:space="preserve">college or </w:t>
      </w:r>
      <w:r w:rsidRPr="0067794B">
        <w:rPr>
          <w:rFonts w:ascii="Times New Roman" w:hAnsi="Times New Roman" w:cs="Times New Roman"/>
          <w:sz w:val="24"/>
          <w:szCs w:val="24"/>
        </w:rPr>
        <w:t xml:space="preserve">postgraduate education level and thus they had a mix of skills from their college education also. </w:t>
      </w:r>
      <w:r w:rsidRPr="0067794B">
        <w:rPr>
          <w:rFonts w:ascii="Times New Roman" w:hAnsi="Times New Roman" w:cs="Times New Roman"/>
          <w:sz w:val="24"/>
          <w:szCs w:val="24"/>
        </w:rPr>
        <w:lastRenderedPageBreak/>
        <w:t>Further</w:t>
      </w:r>
      <w:r>
        <w:rPr>
          <w:rFonts w:ascii="Times New Roman" w:hAnsi="Times New Roman" w:cs="Times New Roman"/>
          <w:sz w:val="24"/>
          <w:szCs w:val="24"/>
        </w:rPr>
        <w:t xml:space="preserve"> again</w:t>
      </w:r>
      <w:r w:rsidRPr="0067794B">
        <w:rPr>
          <w:rFonts w:ascii="Times New Roman" w:hAnsi="Times New Roman" w:cs="Times New Roman"/>
          <w:sz w:val="24"/>
          <w:szCs w:val="24"/>
        </w:rPr>
        <w:t>, there was no respondent under who was identified as having no formal education</w:t>
      </w:r>
      <w:r>
        <w:rPr>
          <w:rFonts w:ascii="Times New Roman" w:hAnsi="Times New Roman" w:cs="Times New Roman"/>
          <w:sz w:val="24"/>
          <w:szCs w:val="24"/>
        </w:rPr>
        <w:t xml:space="preserve"> </w:t>
      </w:r>
      <w:r w:rsidRPr="0067794B">
        <w:rPr>
          <w:rFonts w:ascii="Times New Roman" w:hAnsi="Times New Roman" w:cs="Times New Roman"/>
          <w:sz w:val="24"/>
          <w:szCs w:val="24"/>
        </w:rPr>
        <w:t xml:space="preserve">and therefore could not read or write. </w:t>
      </w:r>
    </w:p>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However, the study findings showed that majority of the respondents were knowledgeable and with support could understand the integration of ICT on school performance. According to </w:t>
      </w:r>
      <w:r>
        <w:rPr>
          <w:rFonts w:ascii="Times New Roman" w:hAnsi="Times New Roman" w:cs="Times New Roman"/>
          <w:sz w:val="24"/>
          <w:szCs w:val="24"/>
        </w:rPr>
        <w:t>(</w:t>
      </w:r>
      <w:r>
        <w:rPr>
          <w:rFonts w:ascii="Times New Roman" w:eastAsia="Times New Roman" w:hAnsi="Times New Roman" w:cs="Times New Roman"/>
          <w:sz w:val="24"/>
          <w:szCs w:val="24"/>
        </w:rPr>
        <w:t xml:space="preserve">Bratton </w:t>
      </w:r>
      <w:r w:rsidRPr="009B6A0E">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9B6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level of education of </w:t>
      </w:r>
      <w:proofErr w:type="gramStart"/>
      <w:r w:rsidRPr="009B6A0E">
        <w:rPr>
          <w:rFonts w:ascii="Times New Roman" w:eastAsia="Times New Roman" w:hAnsi="Times New Roman" w:cs="Times New Roman"/>
          <w:sz w:val="24"/>
          <w:szCs w:val="24"/>
        </w:rPr>
        <w:t>citizens</w:t>
      </w:r>
      <w:proofErr w:type="gramEnd"/>
      <w:r w:rsidRPr="009B6A0E">
        <w:rPr>
          <w:rFonts w:ascii="Times New Roman" w:eastAsia="Times New Roman" w:hAnsi="Times New Roman" w:cs="Times New Roman"/>
          <w:sz w:val="24"/>
          <w:szCs w:val="24"/>
        </w:rPr>
        <w:t xml:space="preserve"> influences public participation showed that if a there a more education people in a particular place then the level of participation was definitely high</w:t>
      </w:r>
      <w:r>
        <w:rPr>
          <w:rFonts w:ascii="Times New Roman" w:eastAsia="Times New Roman" w:hAnsi="Times New Roman" w:cs="Times New Roman"/>
          <w:sz w:val="24"/>
          <w:szCs w:val="24"/>
        </w:rPr>
        <w:t>.</w:t>
      </w:r>
    </w:p>
    <w:p w:rsidR="00C13236" w:rsidRPr="0067794B" w:rsidRDefault="00C13236" w:rsidP="00C13236">
      <w:pPr>
        <w:pStyle w:val="Heading3"/>
        <w:rPr>
          <w:rFonts w:cs="Times New Roman"/>
        </w:rPr>
      </w:pPr>
      <w:r w:rsidRPr="0067794B">
        <w:rPr>
          <w:rFonts w:cs="Times New Roman"/>
        </w:rPr>
        <w:t xml:space="preserve">4.3.3 Length in </w:t>
      </w:r>
      <w:r>
        <w:rPr>
          <w:rFonts w:cs="Times New Roman"/>
        </w:rPr>
        <w:t>Residence</w:t>
      </w:r>
      <w:r w:rsidRPr="0067794B">
        <w:rPr>
          <w:rFonts w:cs="Times New Roman"/>
        </w:rPr>
        <w:t xml:space="preserve"> </w:t>
      </w:r>
    </w:p>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The study sought to determine the duration the respondents have been in the </w:t>
      </w:r>
      <w:r>
        <w:rPr>
          <w:rFonts w:ascii="Times New Roman" w:hAnsi="Times New Roman" w:cs="Times New Roman"/>
          <w:sz w:val="24"/>
          <w:szCs w:val="24"/>
        </w:rPr>
        <w:t>constituency</w:t>
      </w:r>
      <w:r w:rsidRPr="0067794B">
        <w:rPr>
          <w:rFonts w:ascii="Times New Roman" w:hAnsi="Times New Roman" w:cs="Times New Roman"/>
          <w:sz w:val="24"/>
          <w:szCs w:val="24"/>
        </w:rPr>
        <w:t>. This information was necessary as it was meant help to ascertain the extent their responses would be relied upon for valid conclusions based on experience. Results are shown in Table 4.4</w:t>
      </w:r>
    </w:p>
    <w:p w:rsidR="00C13236" w:rsidRPr="0067794B" w:rsidRDefault="00C13236" w:rsidP="00C13236">
      <w:pPr>
        <w:pStyle w:val="Caption"/>
        <w:keepNext/>
        <w:spacing w:line="360" w:lineRule="auto"/>
      </w:pPr>
      <w:bookmarkStart w:id="60" w:name="_Toc512865804"/>
      <w:bookmarkStart w:id="61" w:name="_Toc512868572"/>
      <w:r w:rsidRPr="0067794B">
        <w:t xml:space="preserve">Table 4.4 Length of </w:t>
      </w:r>
      <w:bookmarkEnd w:id="60"/>
      <w:bookmarkEnd w:id="61"/>
      <w:r>
        <w:t>Residence</w:t>
      </w:r>
    </w:p>
    <w:tbl>
      <w:tblPr>
        <w:tblW w:w="4974" w:type="pct"/>
        <w:tblBorders>
          <w:top w:val="single" w:sz="8" w:space="0" w:color="000000"/>
          <w:bottom w:val="single" w:sz="8" w:space="0" w:color="000000"/>
        </w:tblBorders>
        <w:shd w:val="clear" w:color="auto" w:fill="FFFFFF"/>
        <w:tblLook w:val="04A0" w:firstRow="1" w:lastRow="0" w:firstColumn="1" w:lastColumn="0" w:noHBand="0" w:noVBand="1"/>
      </w:tblPr>
      <w:tblGrid>
        <w:gridCol w:w="2502"/>
        <w:gridCol w:w="2051"/>
        <w:gridCol w:w="409"/>
        <w:gridCol w:w="4017"/>
      </w:tblGrid>
      <w:tr w:rsidR="00C13236" w:rsidRPr="0067794B" w:rsidTr="000439C1">
        <w:trPr>
          <w:trHeight w:val="347"/>
        </w:trPr>
        <w:tc>
          <w:tcPr>
            <w:tcW w:w="1393" w:type="pct"/>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sidRPr="0067794B">
              <w:rPr>
                <w:rFonts w:ascii="Times New Roman" w:hAnsi="Times New Roman" w:cs="Times New Roman"/>
                <w:b/>
                <w:bCs/>
                <w:sz w:val="24"/>
                <w:szCs w:val="24"/>
              </w:rPr>
              <w:t>Working During</w:t>
            </w:r>
          </w:p>
        </w:tc>
        <w:tc>
          <w:tcPr>
            <w:tcW w:w="1370" w:type="pct"/>
            <w:gridSpan w:val="2"/>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bCs/>
                <w:sz w:val="24"/>
                <w:szCs w:val="24"/>
              </w:rPr>
            </w:pPr>
            <w:r w:rsidRPr="0067794B">
              <w:rPr>
                <w:rFonts w:ascii="Times New Roman" w:hAnsi="Times New Roman" w:cs="Times New Roman"/>
                <w:b/>
                <w:bCs/>
                <w:sz w:val="24"/>
                <w:szCs w:val="24"/>
              </w:rPr>
              <w:t xml:space="preserve">                  Frequency</w:t>
            </w:r>
          </w:p>
        </w:tc>
        <w:tc>
          <w:tcPr>
            <w:tcW w:w="2237" w:type="pct"/>
            <w:tcBorders>
              <w:top w:val="single" w:sz="8" w:space="0" w:color="000000"/>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bCs/>
                <w:sz w:val="24"/>
                <w:szCs w:val="24"/>
              </w:rPr>
            </w:pPr>
            <w:r w:rsidRPr="0067794B">
              <w:rPr>
                <w:rFonts w:ascii="Times New Roman" w:hAnsi="Times New Roman" w:cs="Times New Roman"/>
                <w:b/>
                <w:bCs/>
                <w:sz w:val="24"/>
                <w:szCs w:val="24"/>
              </w:rPr>
              <w:t xml:space="preserve">               percentage      </w:t>
            </w:r>
          </w:p>
        </w:tc>
      </w:tr>
      <w:tr w:rsidR="00C13236" w:rsidRPr="0067794B" w:rsidTr="000439C1">
        <w:trPr>
          <w:trHeight w:val="347"/>
        </w:trPr>
        <w:tc>
          <w:tcPr>
            <w:tcW w:w="1393" w:type="pct"/>
            <w:tcBorders>
              <w:top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Less than 5</w:t>
            </w:r>
            <w:r w:rsidRPr="0067794B">
              <w:rPr>
                <w:rFonts w:ascii="Times New Roman" w:hAnsi="Times New Roman" w:cs="Times New Roman"/>
                <w:bCs/>
                <w:sz w:val="24"/>
                <w:szCs w:val="24"/>
              </w:rPr>
              <w:t xml:space="preserve"> years</w:t>
            </w:r>
          </w:p>
        </w:tc>
        <w:tc>
          <w:tcPr>
            <w:tcW w:w="1142" w:type="pct"/>
            <w:tcBorders>
              <w:top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58</w:t>
            </w:r>
          </w:p>
        </w:tc>
        <w:tc>
          <w:tcPr>
            <w:tcW w:w="2465" w:type="pct"/>
            <w:gridSpan w:val="2"/>
            <w:tcBorders>
              <w:top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24.37</w:t>
            </w:r>
          </w:p>
        </w:tc>
      </w:tr>
      <w:tr w:rsidR="00C13236" w:rsidRPr="0067794B" w:rsidTr="000439C1">
        <w:trPr>
          <w:trHeight w:val="329"/>
        </w:trPr>
        <w:tc>
          <w:tcPr>
            <w:tcW w:w="1393" w:type="pct"/>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6</w:t>
            </w:r>
            <w:r w:rsidRPr="0067794B">
              <w:rPr>
                <w:rFonts w:ascii="Times New Roman" w:hAnsi="Times New Roman" w:cs="Times New Roman"/>
                <w:bCs/>
                <w:sz w:val="24"/>
                <w:szCs w:val="24"/>
              </w:rPr>
              <w:t>-</w:t>
            </w:r>
            <w:r>
              <w:rPr>
                <w:rFonts w:ascii="Times New Roman" w:hAnsi="Times New Roman" w:cs="Times New Roman"/>
                <w:bCs/>
                <w:sz w:val="24"/>
                <w:szCs w:val="24"/>
              </w:rPr>
              <w:t>15</w:t>
            </w:r>
            <w:r w:rsidRPr="0067794B">
              <w:rPr>
                <w:rFonts w:ascii="Times New Roman" w:hAnsi="Times New Roman" w:cs="Times New Roman"/>
                <w:bCs/>
                <w:sz w:val="24"/>
                <w:szCs w:val="24"/>
              </w:rPr>
              <w:t>years</w:t>
            </w:r>
          </w:p>
        </w:tc>
        <w:tc>
          <w:tcPr>
            <w:tcW w:w="1142" w:type="pct"/>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84</w:t>
            </w:r>
          </w:p>
        </w:tc>
        <w:tc>
          <w:tcPr>
            <w:tcW w:w="2465" w:type="pct"/>
            <w:gridSpan w:val="2"/>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35.29</w:t>
            </w:r>
          </w:p>
        </w:tc>
      </w:tr>
      <w:tr w:rsidR="00C13236" w:rsidRPr="0067794B" w:rsidTr="000439C1">
        <w:trPr>
          <w:trHeight w:val="329"/>
        </w:trPr>
        <w:tc>
          <w:tcPr>
            <w:tcW w:w="1393" w:type="pct"/>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16</w:t>
            </w:r>
            <w:r w:rsidRPr="0067794B">
              <w:rPr>
                <w:rFonts w:ascii="Times New Roman" w:hAnsi="Times New Roman" w:cs="Times New Roman"/>
                <w:bCs/>
                <w:sz w:val="24"/>
                <w:szCs w:val="24"/>
              </w:rPr>
              <w:t>-</w:t>
            </w:r>
            <w:r>
              <w:rPr>
                <w:rFonts w:ascii="Times New Roman" w:hAnsi="Times New Roman" w:cs="Times New Roman"/>
                <w:bCs/>
                <w:sz w:val="24"/>
                <w:szCs w:val="24"/>
              </w:rPr>
              <w:t>25</w:t>
            </w:r>
            <w:r w:rsidRPr="0067794B">
              <w:rPr>
                <w:rFonts w:ascii="Times New Roman" w:hAnsi="Times New Roman" w:cs="Times New Roman"/>
                <w:bCs/>
                <w:sz w:val="24"/>
                <w:szCs w:val="24"/>
              </w:rPr>
              <w:t xml:space="preserve"> years</w:t>
            </w:r>
          </w:p>
        </w:tc>
        <w:tc>
          <w:tcPr>
            <w:tcW w:w="1142" w:type="pct"/>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33</w:t>
            </w:r>
          </w:p>
        </w:tc>
        <w:tc>
          <w:tcPr>
            <w:tcW w:w="2465" w:type="pct"/>
            <w:gridSpan w:val="2"/>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13.87</w:t>
            </w:r>
          </w:p>
        </w:tc>
      </w:tr>
      <w:tr w:rsidR="00C13236" w:rsidRPr="0067794B" w:rsidTr="000439C1">
        <w:trPr>
          <w:trHeight w:val="347"/>
        </w:trPr>
        <w:tc>
          <w:tcPr>
            <w:tcW w:w="1393" w:type="pct"/>
            <w:tcBorders>
              <w:bottom w:val="single" w:sz="4" w:space="0" w:color="auto"/>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sidRPr="0067794B">
              <w:rPr>
                <w:rFonts w:ascii="Times New Roman" w:hAnsi="Times New Roman" w:cs="Times New Roman"/>
                <w:bCs/>
                <w:sz w:val="24"/>
                <w:szCs w:val="24"/>
              </w:rPr>
              <w:t xml:space="preserve">Above </w:t>
            </w:r>
            <w:r>
              <w:rPr>
                <w:rFonts w:ascii="Times New Roman" w:hAnsi="Times New Roman" w:cs="Times New Roman"/>
                <w:bCs/>
                <w:sz w:val="24"/>
                <w:szCs w:val="24"/>
              </w:rPr>
              <w:t>25</w:t>
            </w:r>
            <w:r w:rsidRPr="0067794B">
              <w:rPr>
                <w:rFonts w:ascii="Times New Roman" w:hAnsi="Times New Roman" w:cs="Times New Roman"/>
                <w:bCs/>
                <w:sz w:val="24"/>
                <w:szCs w:val="24"/>
              </w:rPr>
              <w:t xml:space="preserve"> years</w:t>
            </w:r>
          </w:p>
        </w:tc>
        <w:tc>
          <w:tcPr>
            <w:tcW w:w="1142" w:type="pct"/>
            <w:tcBorders>
              <w:bottom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63</w:t>
            </w:r>
          </w:p>
        </w:tc>
        <w:tc>
          <w:tcPr>
            <w:tcW w:w="2465" w:type="pct"/>
            <w:gridSpan w:val="2"/>
            <w:tcBorders>
              <w:bottom w:val="single" w:sz="4" w:space="0" w:color="auto"/>
            </w:tcBorders>
            <w:shd w:val="clear" w:color="auto" w:fill="FFFFFF"/>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sidRPr="0067794B">
              <w:rPr>
                <w:rFonts w:ascii="Times New Roman" w:eastAsia="Times New Roman" w:hAnsi="Times New Roman" w:cs="Times New Roman"/>
                <w:sz w:val="24"/>
                <w:szCs w:val="24"/>
                <w:lang w:eastAsia="en-GB"/>
              </w:rPr>
              <w:t>26.47</w:t>
            </w:r>
          </w:p>
        </w:tc>
      </w:tr>
      <w:tr w:rsidR="00C13236" w:rsidRPr="0067794B" w:rsidTr="000439C1">
        <w:trPr>
          <w:trHeight w:val="371"/>
        </w:trPr>
        <w:tc>
          <w:tcPr>
            <w:tcW w:w="1393" w:type="pct"/>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both"/>
              <w:rPr>
                <w:rFonts w:ascii="Times New Roman" w:hAnsi="Times New Roman" w:cs="Times New Roman"/>
                <w:b/>
                <w:bCs/>
                <w:sz w:val="24"/>
                <w:szCs w:val="24"/>
              </w:rPr>
            </w:pPr>
            <w:r w:rsidRPr="0067794B">
              <w:rPr>
                <w:rFonts w:ascii="Times New Roman" w:hAnsi="Times New Roman" w:cs="Times New Roman"/>
                <w:b/>
                <w:bCs/>
                <w:sz w:val="24"/>
                <w:szCs w:val="24"/>
              </w:rPr>
              <w:t xml:space="preserve">Total </w:t>
            </w:r>
          </w:p>
        </w:tc>
        <w:tc>
          <w:tcPr>
            <w:tcW w:w="1142" w:type="pct"/>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sz w:val="24"/>
                <w:szCs w:val="24"/>
              </w:rPr>
            </w:pPr>
            <w:r w:rsidRPr="0067794B">
              <w:rPr>
                <w:rFonts w:ascii="Times New Roman" w:hAnsi="Times New Roman" w:cs="Times New Roman"/>
                <w:b/>
                <w:sz w:val="24"/>
                <w:szCs w:val="24"/>
              </w:rPr>
              <w:t xml:space="preserve">                      238</w:t>
            </w:r>
          </w:p>
        </w:tc>
        <w:tc>
          <w:tcPr>
            <w:tcW w:w="2465" w:type="pct"/>
            <w:gridSpan w:val="2"/>
            <w:tcBorders>
              <w:top w:val="single" w:sz="4" w:space="0" w:color="auto"/>
              <w:bottom w:val="single" w:sz="8" w:space="0" w:color="000000"/>
            </w:tcBorders>
            <w:shd w:val="clear" w:color="auto" w:fill="FFFFFF"/>
          </w:tcPr>
          <w:p w:rsidR="00C13236" w:rsidRPr="0067794B" w:rsidRDefault="00C13236" w:rsidP="000439C1">
            <w:pPr>
              <w:autoSpaceDE w:val="0"/>
              <w:autoSpaceDN w:val="0"/>
              <w:adjustRightInd w:val="0"/>
              <w:spacing w:after="0" w:line="360" w:lineRule="auto"/>
              <w:jc w:val="right"/>
              <w:rPr>
                <w:rFonts w:ascii="Times New Roman" w:hAnsi="Times New Roman" w:cs="Times New Roman"/>
                <w:b/>
                <w:sz w:val="24"/>
                <w:szCs w:val="24"/>
              </w:rPr>
            </w:pPr>
            <w:r w:rsidRPr="0067794B">
              <w:rPr>
                <w:rFonts w:ascii="Times New Roman" w:hAnsi="Times New Roman" w:cs="Times New Roman"/>
                <w:b/>
                <w:sz w:val="24"/>
                <w:szCs w:val="24"/>
              </w:rPr>
              <w:t xml:space="preserve">                                  100.0</w:t>
            </w:r>
          </w:p>
        </w:tc>
      </w:tr>
    </w:tbl>
    <w:p w:rsidR="00C13236" w:rsidRPr="0067794B" w:rsidRDefault="00C13236" w:rsidP="00C13236">
      <w:pPr>
        <w:autoSpaceDE w:val="0"/>
        <w:autoSpaceDN w:val="0"/>
        <w:adjustRightInd w:val="0"/>
        <w:spacing w:after="0" w:line="360" w:lineRule="auto"/>
        <w:jc w:val="both"/>
        <w:rPr>
          <w:rFonts w:ascii="Times New Roman" w:hAnsi="Times New Roman" w:cs="Times New Roman"/>
        </w:rPr>
      </w:pPr>
    </w:p>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From the findings, most of the respondents that is 35.3 percent had been in the </w:t>
      </w:r>
      <w:r>
        <w:rPr>
          <w:rFonts w:ascii="Times New Roman" w:hAnsi="Times New Roman" w:cs="Times New Roman"/>
          <w:sz w:val="24"/>
          <w:szCs w:val="24"/>
        </w:rPr>
        <w:t xml:space="preserve">constituency or County </w:t>
      </w:r>
      <w:r w:rsidRPr="0067794B">
        <w:rPr>
          <w:rFonts w:ascii="Times New Roman" w:hAnsi="Times New Roman" w:cs="Times New Roman"/>
          <w:sz w:val="24"/>
          <w:szCs w:val="24"/>
        </w:rPr>
        <w:t xml:space="preserve">for </w:t>
      </w:r>
      <w:r>
        <w:rPr>
          <w:rFonts w:ascii="Times New Roman" w:hAnsi="Times New Roman" w:cs="Times New Roman"/>
          <w:sz w:val="24"/>
          <w:szCs w:val="24"/>
        </w:rPr>
        <w:t>a period of 6-15</w:t>
      </w:r>
      <w:r w:rsidRPr="0067794B">
        <w:rPr>
          <w:rFonts w:ascii="Times New Roman" w:hAnsi="Times New Roman" w:cs="Times New Roman"/>
          <w:sz w:val="24"/>
          <w:szCs w:val="24"/>
        </w:rPr>
        <w:t xml:space="preserve"> years whereas approximately 26.5 percent have been in </w:t>
      </w:r>
      <w:r>
        <w:rPr>
          <w:rFonts w:ascii="Times New Roman" w:hAnsi="Times New Roman" w:cs="Times New Roman"/>
          <w:sz w:val="24"/>
          <w:szCs w:val="24"/>
        </w:rPr>
        <w:t xml:space="preserve">the constituency </w:t>
      </w:r>
      <w:r w:rsidRPr="0067794B">
        <w:rPr>
          <w:rFonts w:ascii="Times New Roman" w:hAnsi="Times New Roman" w:cs="Times New Roman"/>
          <w:sz w:val="24"/>
          <w:szCs w:val="24"/>
        </w:rPr>
        <w:t xml:space="preserve">for a period of above ten years.  About 24.4 percent and 13.9 percent were less than </w:t>
      </w:r>
      <w:r>
        <w:rPr>
          <w:rFonts w:ascii="Times New Roman" w:hAnsi="Times New Roman" w:cs="Times New Roman"/>
          <w:sz w:val="24"/>
          <w:szCs w:val="24"/>
        </w:rPr>
        <w:t>5</w:t>
      </w:r>
      <w:r w:rsidRPr="0067794B">
        <w:rPr>
          <w:rFonts w:ascii="Times New Roman" w:hAnsi="Times New Roman" w:cs="Times New Roman"/>
          <w:sz w:val="24"/>
          <w:szCs w:val="24"/>
        </w:rPr>
        <w:t xml:space="preserve"> years old </w:t>
      </w:r>
      <w:r>
        <w:rPr>
          <w:rFonts w:ascii="Times New Roman" w:hAnsi="Times New Roman" w:cs="Times New Roman"/>
          <w:sz w:val="24"/>
          <w:szCs w:val="24"/>
        </w:rPr>
        <w:t>and 16-25</w:t>
      </w:r>
      <w:r w:rsidRPr="0067794B">
        <w:rPr>
          <w:rFonts w:ascii="Times New Roman" w:hAnsi="Times New Roman" w:cs="Times New Roman"/>
          <w:sz w:val="24"/>
          <w:szCs w:val="24"/>
        </w:rPr>
        <w:t xml:space="preserve"> years respectively. This shows that almost 60 percent of respondents have been in the profession in less than</w:t>
      </w:r>
      <w:r>
        <w:rPr>
          <w:rFonts w:ascii="Times New Roman" w:hAnsi="Times New Roman" w:cs="Times New Roman"/>
          <w:sz w:val="24"/>
          <w:szCs w:val="24"/>
        </w:rPr>
        <w:t xml:space="preserve"> a span of 25</w:t>
      </w:r>
      <w:r w:rsidRPr="0067794B">
        <w:rPr>
          <w:rFonts w:ascii="Times New Roman" w:hAnsi="Times New Roman" w:cs="Times New Roman"/>
          <w:sz w:val="24"/>
          <w:szCs w:val="24"/>
        </w:rPr>
        <w:t xml:space="preserve"> years. From frequency distribution results, most of the sampled respondents had an extensive </w:t>
      </w:r>
      <w:r>
        <w:rPr>
          <w:rFonts w:ascii="Times New Roman" w:hAnsi="Times New Roman" w:cs="Times New Roman"/>
          <w:sz w:val="24"/>
          <w:szCs w:val="24"/>
        </w:rPr>
        <w:t>residence in the constituency or county</w:t>
      </w:r>
      <w:r w:rsidRPr="0067794B">
        <w:rPr>
          <w:rFonts w:ascii="Times New Roman" w:hAnsi="Times New Roman" w:cs="Times New Roman"/>
          <w:sz w:val="24"/>
          <w:szCs w:val="24"/>
        </w:rPr>
        <w:t xml:space="preserve"> and therefore well versed with the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Pr>
          <w:rFonts w:ascii="Times New Roman" w:hAnsi="Times New Roman" w:cs="Times New Roman"/>
          <w:sz w:val="24"/>
          <w:szCs w:val="24"/>
        </w:rPr>
        <w:t>.</w:t>
      </w:r>
    </w:p>
    <w:p w:rsidR="00C13236" w:rsidRPr="00B44F4F" w:rsidRDefault="00C13236" w:rsidP="00C13236">
      <w:pPr>
        <w:pStyle w:val="Heading3"/>
        <w:rPr>
          <w:rFonts w:cs="Times New Roman"/>
        </w:rPr>
      </w:pPr>
      <w:r w:rsidRPr="00B44F4F">
        <w:rPr>
          <w:rFonts w:cs="Times New Roman"/>
        </w:rPr>
        <w:t>4.3.4 Distribution of Respondents in the Constituency/County</w:t>
      </w:r>
    </w:p>
    <w:p w:rsidR="00C13236" w:rsidRPr="00B44F4F" w:rsidRDefault="00C13236" w:rsidP="00C13236">
      <w:pPr>
        <w:spacing w:line="360" w:lineRule="auto"/>
        <w:jc w:val="both"/>
        <w:rPr>
          <w:rFonts w:ascii="Times New Roman" w:hAnsi="Times New Roman" w:cs="Times New Roman"/>
          <w:sz w:val="24"/>
          <w:szCs w:val="24"/>
        </w:rPr>
      </w:pPr>
      <w:r w:rsidRPr="00B44F4F">
        <w:rPr>
          <w:rFonts w:ascii="Times New Roman" w:hAnsi="Times New Roman" w:cs="Times New Roman"/>
          <w:sz w:val="24"/>
          <w:szCs w:val="24"/>
        </w:rPr>
        <w:t xml:space="preserve">The study sought to understand the distribution of the respondents in the constituency/county. The constituency was divided into three categories including; </w:t>
      </w:r>
      <w:proofErr w:type="spellStart"/>
      <w:r w:rsidRPr="00B44F4F">
        <w:rPr>
          <w:rFonts w:ascii="Times New Roman" w:hAnsi="Times New Roman" w:cs="Times New Roman"/>
          <w:sz w:val="24"/>
          <w:szCs w:val="24"/>
        </w:rPr>
        <w:t>Sotik</w:t>
      </w:r>
      <w:proofErr w:type="spellEnd"/>
      <w:r w:rsidRPr="00B44F4F">
        <w:rPr>
          <w:rFonts w:ascii="Times New Roman" w:hAnsi="Times New Roman" w:cs="Times New Roman"/>
          <w:sz w:val="24"/>
          <w:szCs w:val="24"/>
        </w:rPr>
        <w:t xml:space="preserve">, </w:t>
      </w:r>
      <w:proofErr w:type="spellStart"/>
      <w:r w:rsidRPr="00B44F4F">
        <w:rPr>
          <w:rFonts w:ascii="Times New Roman" w:hAnsi="Times New Roman" w:cs="Times New Roman"/>
          <w:sz w:val="24"/>
          <w:szCs w:val="24"/>
        </w:rPr>
        <w:t>Bomet</w:t>
      </w:r>
      <w:proofErr w:type="spellEnd"/>
      <w:r w:rsidRPr="00B44F4F">
        <w:rPr>
          <w:rFonts w:ascii="Times New Roman" w:hAnsi="Times New Roman" w:cs="Times New Roman"/>
          <w:sz w:val="24"/>
          <w:szCs w:val="24"/>
        </w:rPr>
        <w:t xml:space="preserve"> East, </w:t>
      </w:r>
      <w:proofErr w:type="spellStart"/>
      <w:r w:rsidRPr="00B44F4F">
        <w:rPr>
          <w:rFonts w:ascii="Times New Roman" w:hAnsi="Times New Roman" w:cs="Times New Roman"/>
          <w:sz w:val="24"/>
          <w:szCs w:val="24"/>
        </w:rPr>
        <w:t>Chepalungu</w:t>
      </w:r>
      <w:proofErr w:type="spellEnd"/>
      <w:r w:rsidRPr="00B44F4F">
        <w:rPr>
          <w:rFonts w:ascii="Times New Roman" w:hAnsi="Times New Roman" w:cs="Times New Roman"/>
          <w:sz w:val="24"/>
          <w:szCs w:val="24"/>
        </w:rPr>
        <w:t xml:space="preserve">, and </w:t>
      </w:r>
      <w:proofErr w:type="spellStart"/>
      <w:r w:rsidRPr="00B44F4F">
        <w:rPr>
          <w:rFonts w:ascii="Times New Roman" w:hAnsi="Times New Roman" w:cs="Times New Roman"/>
          <w:sz w:val="24"/>
          <w:szCs w:val="24"/>
        </w:rPr>
        <w:t>Konoin</w:t>
      </w:r>
      <w:proofErr w:type="spellEnd"/>
      <w:r w:rsidRPr="00B44F4F">
        <w:rPr>
          <w:rFonts w:ascii="Times New Roman" w:hAnsi="Times New Roman" w:cs="Times New Roman"/>
          <w:sz w:val="24"/>
          <w:szCs w:val="24"/>
        </w:rPr>
        <w:t xml:space="preserve"> constituencies. The outcomes are presented in Table 4.5</w:t>
      </w:r>
    </w:p>
    <w:p w:rsidR="00C13236" w:rsidRDefault="00C13236" w:rsidP="00C13236">
      <w:pPr>
        <w:pStyle w:val="Caption"/>
        <w:keepNext/>
        <w:spacing w:line="360" w:lineRule="auto"/>
      </w:pPr>
      <w:r w:rsidRPr="00B44F4F">
        <w:lastRenderedPageBreak/>
        <w:t>Table 4.5: Distribution of the respondents in the constituency/county</w:t>
      </w:r>
    </w:p>
    <w:tbl>
      <w:tblPr>
        <w:tblW w:w="0" w:type="auto"/>
        <w:tblInd w:w="198" w:type="dxa"/>
        <w:tblBorders>
          <w:top w:val="single" w:sz="8" w:space="0" w:color="000000"/>
          <w:bottom w:val="single" w:sz="8" w:space="0" w:color="000000"/>
        </w:tblBorders>
        <w:tblLook w:val="04A0" w:firstRow="1" w:lastRow="0" w:firstColumn="1" w:lastColumn="0" w:noHBand="0" w:noVBand="1"/>
      </w:tblPr>
      <w:tblGrid>
        <w:gridCol w:w="2110"/>
        <w:gridCol w:w="3210"/>
        <w:gridCol w:w="3508"/>
      </w:tblGrid>
      <w:tr w:rsidR="00C13236" w:rsidRPr="0067794B" w:rsidTr="000439C1">
        <w:trPr>
          <w:trHeight w:val="306"/>
        </w:trPr>
        <w:tc>
          <w:tcPr>
            <w:tcW w:w="2110" w:type="dxa"/>
            <w:tcBorders>
              <w:top w:val="single" w:sz="8" w:space="0" w:color="000000"/>
              <w:bottom w:val="single" w:sz="4" w:space="0" w:color="auto"/>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Constituency</w:t>
            </w:r>
          </w:p>
        </w:tc>
        <w:tc>
          <w:tcPr>
            <w:tcW w:w="3210" w:type="dxa"/>
            <w:tcBorders>
              <w:top w:val="single" w:sz="8" w:space="0" w:color="000000"/>
              <w:bottom w:val="single" w:sz="4" w:space="0" w:color="auto"/>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r w:rsidRPr="0067794B">
              <w:rPr>
                <w:rFonts w:ascii="Times New Roman" w:hAnsi="Times New Roman" w:cs="Times New Roman"/>
                <w:b/>
              </w:rPr>
              <w:t>Frequency</w:t>
            </w:r>
          </w:p>
        </w:tc>
        <w:tc>
          <w:tcPr>
            <w:tcW w:w="3508" w:type="dxa"/>
            <w:tcBorders>
              <w:top w:val="single" w:sz="8" w:space="0" w:color="000000"/>
              <w:bottom w:val="single" w:sz="4" w:space="0" w:color="auto"/>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r w:rsidRPr="0067794B">
              <w:rPr>
                <w:rFonts w:ascii="Times New Roman" w:hAnsi="Times New Roman" w:cs="Times New Roman"/>
                <w:b/>
              </w:rPr>
              <w:t>Percentage</w:t>
            </w:r>
          </w:p>
        </w:tc>
      </w:tr>
      <w:tr w:rsidR="00C13236" w:rsidRPr="0067794B" w:rsidTr="000439C1">
        <w:trPr>
          <w:trHeight w:val="306"/>
        </w:trPr>
        <w:tc>
          <w:tcPr>
            <w:tcW w:w="2110" w:type="dxa"/>
            <w:tcBorders>
              <w:top w:val="single" w:sz="4" w:space="0" w:color="auto"/>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SOTIK</w:t>
            </w:r>
          </w:p>
        </w:tc>
        <w:tc>
          <w:tcPr>
            <w:tcW w:w="3210" w:type="dxa"/>
            <w:tcBorders>
              <w:top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56</w:t>
            </w:r>
          </w:p>
        </w:tc>
        <w:tc>
          <w:tcPr>
            <w:tcW w:w="3508" w:type="dxa"/>
            <w:tcBorders>
              <w:top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23</w:t>
            </w:r>
            <w:r w:rsidRPr="0067794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53</w:t>
            </w:r>
          </w:p>
        </w:tc>
      </w:tr>
      <w:tr w:rsidR="00C13236" w:rsidRPr="0067794B" w:rsidTr="000439C1">
        <w:trPr>
          <w:trHeight w:val="323"/>
        </w:trPr>
        <w:tc>
          <w:tcPr>
            <w:tcW w:w="2110" w:type="dxa"/>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BOMET CENTRAL</w:t>
            </w:r>
          </w:p>
        </w:tc>
        <w:tc>
          <w:tcPr>
            <w:tcW w:w="3210"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33</w:t>
            </w:r>
          </w:p>
        </w:tc>
        <w:tc>
          <w:tcPr>
            <w:tcW w:w="3508"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67794B">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.87</w:t>
            </w:r>
          </w:p>
        </w:tc>
      </w:tr>
      <w:tr w:rsidR="00C13236" w:rsidRPr="0067794B" w:rsidTr="000439C1">
        <w:trPr>
          <w:trHeight w:val="306"/>
        </w:trPr>
        <w:tc>
          <w:tcPr>
            <w:tcW w:w="2110" w:type="dxa"/>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BOMET EAST</w:t>
            </w:r>
          </w:p>
        </w:tc>
        <w:tc>
          <w:tcPr>
            <w:tcW w:w="3210"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42</w:t>
            </w:r>
          </w:p>
        </w:tc>
        <w:tc>
          <w:tcPr>
            <w:tcW w:w="3508"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17</w:t>
            </w:r>
            <w:r w:rsidRPr="0067794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64</w:t>
            </w:r>
          </w:p>
        </w:tc>
      </w:tr>
      <w:tr w:rsidR="00C13236" w:rsidRPr="0067794B" w:rsidTr="000439C1">
        <w:trPr>
          <w:trHeight w:val="306"/>
        </w:trPr>
        <w:tc>
          <w:tcPr>
            <w:tcW w:w="2110" w:type="dxa"/>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CHEPALUNGU</w:t>
            </w:r>
          </w:p>
        </w:tc>
        <w:tc>
          <w:tcPr>
            <w:tcW w:w="3210"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54</w:t>
            </w:r>
          </w:p>
        </w:tc>
        <w:tc>
          <w:tcPr>
            <w:tcW w:w="3508" w:type="dxa"/>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w:t>
            </w:r>
            <w:r w:rsidRPr="0067794B">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69</w:t>
            </w:r>
          </w:p>
        </w:tc>
      </w:tr>
      <w:tr w:rsidR="00C13236" w:rsidRPr="0067794B" w:rsidTr="000439C1">
        <w:trPr>
          <w:trHeight w:val="306"/>
        </w:trPr>
        <w:tc>
          <w:tcPr>
            <w:tcW w:w="2110" w:type="dxa"/>
            <w:tcBorders>
              <w:bottom w:val="single" w:sz="4" w:space="0" w:color="auto"/>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Pr>
                <w:rFonts w:ascii="Times New Roman" w:hAnsi="Times New Roman" w:cs="Times New Roman"/>
                <w:b/>
                <w:bCs/>
              </w:rPr>
              <w:t>KONOIN</w:t>
            </w:r>
          </w:p>
        </w:tc>
        <w:tc>
          <w:tcPr>
            <w:tcW w:w="3210" w:type="dxa"/>
            <w:tcBorders>
              <w:bottom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53</w:t>
            </w:r>
          </w:p>
        </w:tc>
        <w:tc>
          <w:tcPr>
            <w:tcW w:w="3508" w:type="dxa"/>
            <w:tcBorders>
              <w:bottom w:val="single" w:sz="4" w:space="0" w:color="auto"/>
            </w:tcBorders>
            <w:shd w:val="clear" w:color="auto" w:fill="auto"/>
            <w:vAlign w:val="center"/>
          </w:tcPr>
          <w:p w:rsidR="00C13236" w:rsidRPr="0067794B" w:rsidRDefault="00C13236" w:rsidP="000439C1">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22.27</w:t>
            </w:r>
          </w:p>
        </w:tc>
      </w:tr>
      <w:tr w:rsidR="00C13236" w:rsidRPr="0067794B" w:rsidTr="000439C1">
        <w:trPr>
          <w:trHeight w:val="306"/>
        </w:trPr>
        <w:tc>
          <w:tcPr>
            <w:tcW w:w="2110" w:type="dxa"/>
            <w:tcBorders>
              <w:top w:val="single" w:sz="4" w:space="0" w:color="auto"/>
              <w:bottom w:val="single" w:sz="8" w:space="0" w:color="000000"/>
            </w:tcBorders>
            <w:shd w:val="clear" w:color="auto" w:fill="auto"/>
          </w:tcPr>
          <w:p w:rsidR="00C13236" w:rsidRPr="0067794B" w:rsidRDefault="00C13236" w:rsidP="000439C1">
            <w:pPr>
              <w:spacing w:after="0" w:line="360" w:lineRule="auto"/>
              <w:jc w:val="both"/>
              <w:outlineLvl w:val="0"/>
              <w:rPr>
                <w:rFonts w:ascii="Times New Roman" w:hAnsi="Times New Roman" w:cs="Times New Roman"/>
                <w:b/>
                <w:bCs/>
              </w:rPr>
            </w:pPr>
            <w:r w:rsidRPr="0067794B">
              <w:rPr>
                <w:rFonts w:ascii="Times New Roman" w:hAnsi="Times New Roman" w:cs="Times New Roman"/>
                <w:b/>
                <w:bCs/>
              </w:rPr>
              <w:t>Total</w:t>
            </w:r>
          </w:p>
        </w:tc>
        <w:tc>
          <w:tcPr>
            <w:tcW w:w="3210" w:type="dxa"/>
            <w:tcBorders>
              <w:top w:val="single" w:sz="4" w:space="0" w:color="auto"/>
              <w:bottom w:val="single" w:sz="8" w:space="0" w:color="000000"/>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r w:rsidRPr="0067794B">
              <w:rPr>
                <w:rFonts w:ascii="Times New Roman" w:hAnsi="Times New Roman" w:cs="Times New Roman"/>
                <w:b/>
              </w:rPr>
              <w:t>238</w:t>
            </w:r>
          </w:p>
        </w:tc>
        <w:tc>
          <w:tcPr>
            <w:tcW w:w="3508" w:type="dxa"/>
            <w:tcBorders>
              <w:top w:val="single" w:sz="4" w:space="0" w:color="auto"/>
              <w:bottom w:val="single" w:sz="8" w:space="0" w:color="000000"/>
            </w:tcBorders>
            <w:shd w:val="clear" w:color="auto" w:fill="auto"/>
          </w:tcPr>
          <w:p w:rsidR="00C13236" w:rsidRPr="0067794B" w:rsidRDefault="00C13236" w:rsidP="000439C1">
            <w:pPr>
              <w:spacing w:after="0" w:line="360" w:lineRule="auto"/>
              <w:jc w:val="right"/>
              <w:outlineLvl w:val="0"/>
              <w:rPr>
                <w:rFonts w:ascii="Times New Roman" w:hAnsi="Times New Roman" w:cs="Times New Roman"/>
                <w:b/>
              </w:rPr>
            </w:pPr>
            <w:r w:rsidRPr="0067794B">
              <w:rPr>
                <w:rFonts w:ascii="Times New Roman" w:hAnsi="Times New Roman" w:cs="Times New Roman"/>
                <w:b/>
              </w:rPr>
              <w:t>100</w:t>
            </w:r>
          </w:p>
        </w:tc>
      </w:tr>
    </w:tbl>
    <w:p w:rsidR="00C13236" w:rsidRPr="00B44F4F" w:rsidRDefault="00C13236" w:rsidP="00C13236"/>
    <w:p w:rsidR="00C13236" w:rsidRPr="00B44F4F" w:rsidRDefault="00C13236" w:rsidP="00C13236">
      <w:pPr>
        <w:spacing w:before="240" w:line="360" w:lineRule="auto"/>
        <w:jc w:val="both"/>
        <w:rPr>
          <w:rFonts w:ascii="Times New Roman" w:hAnsi="Times New Roman" w:cs="Times New Roman"/>
          <w:sz w:val="24"/>
          <w:szCs w:val="24"/>
        </w:rPr>
      </w:pPr>
      <w:r w:rsidRPr="00B44F4F">
        <w:rPr>
          <w:rFonts w:ascii="Times New Roman" w:hAnsi="Times New Roman" w:cs="Times New Roman"/>
          <w:sz w:val="24"/>
          <w:szCs w:val="24"/>
        </w:rPr>
        <w:t>From the findings, the study found that approximately 63 percent of respondents had stayed in</w:t>
      </w:r>
      <w:r>
        <w:rPr>
          <w:rFonts w:ascii="Times New Roman" w:hAnsi="Times New Roman" w:cs="Times New Roman"/>
          <w:sz w:val="24"/>
          <w:szCs w:val="24"/>
        </w:rPr>
        <w:t xml:space="preserve"> </w:t>
      </w:r>
      <w:proofErr w:type="spellStart"/>
      <w:r>
        <w:rPr>
          <w:rFonts w:ascii="Times New Roman" w:hAnsi="Times New Roman" w:cs="Times New Roman"/>
          <w:sz w:val="24"/>
          <w:szCs w:val="24"/>
        </w:rPr>
        <w:t>Sotik</w:t>
      </w:r>
      <w:proofErr w:type="spellEnd"/>
      <w:r>
        <w:rPr>
          <w:rFonts w:ascii="Times New Roman" w:hAnsi="Times New Roman" w:cs="Times New Roman"/>
          <w:sz w:val="24"/>
          <w:szCs w:val="24"/>
        </w:rPr>
        <w:t xml:space="preserve"> constituency</w:t>
      </w:r>
      <w:r w:rsidRPr="00B44F4F">
        <w:rPr>
          <w:rFonts w:ascii="Times New Roman" w:hAnsi="Times New Roman" w:cs="Times New Roman"/>
          <w:sz w:val="24"/>
          <w:szCs w:val="24"/>
        </w:rPr>
        <w:t>, while 32.4 percent of the respondents had stayed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r w:rsidRPr="00B44F4F">
        <w:rPr>
          <w:rFonts w:ascii="Times New Roman" w:hAnsi="Times New Roman" w:cs="Times New Roman"/>
          <w:sz w:val="24"/>
          <w:szCs w:val="24"/>
        </w:rPr>
        <w:t>.</w:t>
      </w:r>
      <w:proofErr w:type="gramEnd"/>
      <w:r w:rsidRPr="00B44F4F">
        <w:rPr>
          <w:rFonts w:ascii="Times New Roman" w:hAnsi="Times New Roman" w:cs="Times New Roman"/>
          <w:sz w:val="24"/>
          <w:szCs w:val="24"/>
        </w:rPr>
        <w:t xml:space="preserve"> The rest that is 4.6 percent had stayed for over 15years. The finding indicate that most of the respondents had  stayed at the duty-stations for less than 5 years, implying that their knowledge of the relationship of ICT to the performance  was for the period of less than 5 years from the time this study was undertaken.</w:t>
      </w:r>
    </w:p>
    <w:p w:rsidR="00C13236" w:rsidRPr="0067794B" w:rsidRDefault="00C13236" w:rsidP="00C13236">
      <w:pPr>
        <w:pStyle w:val="Heading2"/>
        <w:rPr>
          <w:rFonts w:cs="Times New Roman"/>
          <w:szCs w:val="24"/>
        </w:rPr>
      </w:pPr>
      <w:bookmarkStart w:id="62" w:name="_Toc514917289"/>
      <w:bookmarkStart w:id="63" w:name="_Toc513480115"/>
      <w:bookmarkStart w:id="64" w:name="_Toc510793986"/>
      <w:bookmarkStart w:id="65" w:name="_Toc487810841"/>
      <w:bookmarkStart w:id="66" w:name="_Toc486516454"/>
      <w:bookmarkStart w:id="67" w:name="_Toc478640197"/>
      <w:bookmarkStart w:id="68" w:name="_Toc479149930"/>
      <w:r w:rsidRPr="0067794B">
        <w:rPr>
          <w:rFonts w:cs="Times New Roman"/>
          <w:szCs w:val="24"/>
        </w:rPr>
        <w:t>4.4 Reliability Analysis</w:t>
      </w:r>
      <w:bookmarkEnd w:id="62"/>
      <w:bookmarkEnd w:id="63"/>
      <w:bookmarkEnd w:id="64"/>
      <w:bookmarkEnd w:id="65"/>
      <w:bookmarkEnd w:id="66"/>
      <w:bookmarkEnd w:id="67"/>
      <w:bookmarkEnd w:id="68"/>
    </w:p>
    <w:p w:rsidR="00C13236" w:rsidRPr="0067794B" w:rsidRDefault="00C13236" w:rsidP="00C13236">
      <w:pPr>
        <w:spacing w:line="360" w:lineRule="auto"/>
        <w:jc w:val="both"/>
        <w:rPr>
          <w:rFonts w:ascii="Times New Roman" w:eastAsia="Calibri" w:hAnsi="Times New Roman" w:cs="Times New Roman"/>
          <w:sz w:val="24"/>
          <w:szCs w:val="24"/>
        </w:rPr>
      </w:pPr>
      <w:r w:rsidRPr="0067794B">
        <w:rPr>
          <w:rFonts w:ascii="Times New Roman" w:eastAsia="Calibri" w:hAnsi="Times New Roman" w:cs="Times New Roman"/>
          <w:sz w:val="24"/>
          <w:szCs w:val="24"/>
        </w:rPr>
        <w:t xml:space="preserve">Reliability analysis was </w:t>
      </w:r>
      <w:r w:rsidRPr="0067794B">
        <w:rPr>
          <w:rFonts w:ascii="Times New Roman" w:hAnsi="Times New Roman" w:cs="Times New Roman"/>
          <w:sz w:val="24"/>
          <w:szCs w:val="24"/>
        </w:rPr>
        <w:t>subsequently</w:t>
      </w:r>
      <w:r w:rsidRPr="0067794B">
        <w:rPr>
          <w:rFonts w:ascii="Times New Roman" w:eastAsia="Calibri" w:hAnsi="Times New Roman" w:cs="Times New Roman"/>
          <w:sz w:val="24"/>
          <w:szCs w:val="24"/>
        </w:rPr>
        <w:t xml:space="preserve"> done using </w:t>
      </w:r>
      <w:proofErr w:type="spellStart"/>
      <w:r w:rsidRPr="0067794B">
        <w:rPr>
          <w:rFonts w:ascii="Times New Roman" w:eastAsia="Calibri" w:hAnsi="Times New Roman" w:cs="Times New Roman"/>
          <w:sz w:val="24"/>
          <w:szCs w:val="24"/>
        </w:rPr>
        <w:t>Cronbach’s</w:t>
      </w:r>
      <w:proofErr w:type="spellEnd"/>
      <w:r w:rsidRPr="0067794B">
        <w:rPr>
          <w:rFonts w:ascii="Times New Roman" w:eastAsia="Calibri" w:hAnsi="Times New Roman" w:cs="Times New Roman"/>
          <w:sz w:val="24"/>
          <w:szCs w:val="24"/>
        </w:rPr>
        <w:t xml:space="preserve"> Alpha which measures the internal consistency by establishing if certain items within a scale measure the same construct. The findings were as shown in Table 4.8.</w:t>
      </w:r>
    </w:p>
    <w:p w:rsidR="00C13236" w:rsidRPr="0067794B" w:rsidRDefault="00C13236" w:rsidP="00C13236">
      <w:pPr>
        <w:pStyle w:val="Caption"/>
      </w:pPr>
      <w:bookmarkStart w:id="69" w:name="_Toc514917446"/>
      <w:bookmarkStart w:id="70" w:name="_Toc513480019"/>
      <w:bookmarkStart w:id="71" w:name="_Toc510794048"/>
      <w:bookmarkStart w:id="72" w:name="_Toc487810877"/>
      <w:bookmarkStart w:id="73" w:name="_Toc486516361"/>
      <w:bookmarkStart w:id="74" w:name="_Toc421879896"/>
      <w:bookmarkStart w:id="75" w:name="_Toc473974852"/>
      <w:bookmarkStart w:id="76" w:name="_Toc477763929"/>
      <w:bookmarkStart w:id="77" w:name="_Toc478120977"/>
      <w:bookmarkStart w:id="78" w:name="_Toc478641490"/>
      <w:bookmarkStart w:id="79" w:name="_Toc479151995"/>
      <w:r w:rsidRPr="0067794B">
        <w:t>Table 4.</w:t>
      </w:r>
      <w:r>
        <w:t>6</w:t>
      </w:r>
      <w:r w:rsidRPr="0067794B">
        <w:t xml:space="preserve">: Scale Reliability </w:t>
      </w:r>
      <w:bookmarkEnd w:id="69"/>
      <w:bookmarkEnd w:id="70"/>
      <w:bookmarkEnd w:id="71"/>
      <w:bookmarkEnd w:id="72"/>
      <w:bookmarkEnd w:id="73"/>
      <w:bookmarkEnd w:id="74"/>
      <w:bookmarkEnd w:id="75"/>
      <w:bookmarkEnd w:id="76"/>
      <w:bookmarkEnd w:id="77"/>
      <w:bookmarkEnd w:id="78"/>
      <w:bookmarkEnd w:id="79"/>
      <w:r w:rsidRPr="0067794B">
        <w:t>Coefficients</w:t>
      </w:r>
    </w:p>
    <w:tbl>
      <w:tblPr>
        <w:tblW w:w="5000" w:type="pct"/>
        <w:tblBorders>
          <w:top w:val="single" w:sz="4" w:space="0" w:color="auto"/>
          <w:bottom w:val="single" w:sz="4" w:space="0" w:color="auto"/>
        </w:tblBorders>
        <w:tblLook w:val="04A0" w:firstRow="1" w:lastRow="0" w:firstColumn="1" w:lastColumn="0" w:noHBand="0" w:noVBand="1"/>
      </w:tblPr>
      <w:tblGrid>
        <w:gridCol w:w="4930"/>
        <w:gridCol w:w="1398"/>
        <w:gridCol w:w="1375"/>
        <w:gridCol w:w="1323"/>
      </w:tblGrid>
      <w:tr w:rsidR="00C13236" w:rsidRPr="0067794B" w:rsidTr="000439C1">
        <w:tc>
          <w:tcPr>
            <w:tcW w:w="2740" w:type="pct"/>
            <w:tcBorders>
              <w:top w:val="single" w:sz="4" w:space="0" w:color="auto"/>
              <w:left w:val="nil"/>
              <w:bottom w:val="single" w:sz="4" w:space="0" w:color="auto"/>
              <w:right w:val="nil"/>
            </w:tcBorders>
          </w:tcPr>
          <w:p w:rsidR="00C13236" w:rsidRPr="0067794B" w:rsidRDefault="00C13236" w:rsidP="000439C1">
            <w:pPr>
              <w:spacing w:after="0" w:line="240" w:lineRule="auto"/>
              <w:jc w:val="both"/>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Constructs</w:t>
            </w:r>
          </w:p>
        </w:tc>
        <w:tc>
          <w:tcPr>
            <w:tcW w:w="783"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Alpha value (%)</w:t>
            </w:r>
          </w:p>
        </w:tc>
        <w:tc>
          <w:tcPr>
            <w:tcW w:w="770"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No of items</w:t>
            </w:r>
          </w:p>
        </w:tc>
        <w:tc>
          <w:tcPr>
            <w:tcW w:w="707" w:type="pct"/>
            <w:tcBorders>
              <w:top w:val="single" w:sz="4" w:space="0" w:color="auto"/>
              <w:left w:val="nil"/>
              <w:bottom w:val="single" w:sz="4" w:space="0" w:color="auto"/>
              <w:right w:val="nil"/>
            </w:tcBorders>
            <w:hideMark/>
          </w:tcPr>
          <w:p w:rsidR="00C13236" w:rsidRPr="0067794B" w:rsidRDefault="00C13236" w:rsidP="000439C1">
            <w:pPr>
              <w:spacing w:after="0" w:line="240" w:lineRule="auto"/>
              <w:jc w:val="center"/>
              <w:rPr>
                <w:rFonts w:ascii="Times New Roman" w:eastAsia="Times New Roman" w:hAnsi="Times New Roman" w:cs="Times New Roman"/>
                <w:b/>
                <w:sz w:val="24"/>
                <w:szCs w:val="24"/>
              </w:rPr>
            </w:pPr>
            <w:r w:rsidRPr="0067794B">
              <w:rPr>
                <w:rFonts w:ascii="Times New Roman" w:eastAsia="Times New Roman" w:hAnsi="Times New Roman" w:cs="Times New Roman"/>
                <w:b/>
                <w:sz w:val="24"/>
                <w:szCs w:val="24"/>
              </w:rPr>
              <w:t>Comments</w:t>
            </w:r>
          </w:p>
        </w:tc>
      </w:tr>
      <w:tr w:rsidR="00C13236" w:rsidRPr="0067794B" w:rsidTr="000439C1">
        <w:tc>
          <w:tcPr>
            <w:tcW w:w="2740" w:type="pct"/>
            <w:tcBorders>
              <w:top w:val="single" w:sz="4" w:space="0" w:color="auto"/>
              <w:left w:val="nil"/>
              <w:bottom w:val="nil"/>
              <w:right w:val="nil"/>
            </w:tcBorders>
            <w:hideMark/>
          </w:tcPr>
          <w:p w:rsidR="00C13236" w:rsidRPr="0067794B" w:rsidRDefault="00C13236" w:rsidP="000439C1">
            <w:pPr>
              <w:spacing w:line="240" w:lineRule="auto"/>
              <w:jc w:val="both"/>
              <w:rPr>
                <w:rFonts w:ascii="Times New Roman" w:hAnsi="Times New Roman" w:cs="Times New Roman"/>
                <w:sz w:val="24"/>
                <w:szCs w:val="24"/>
              </w:rPr>
            </w:pPr>
            <w:r>
              <w:rPr>
                <w:rFonts w:ascii="Times New Roman" w:hAnsi="Times New Roman" w:cs="Times New Roman"/>
                <w:sz w:val="24"/>
                <w:szCs w:val="24"/>
              </w:rPr>
              <w:t>Delay in project completion</w:t>
            </w:r>
            <w:r w:rsidRPr="0067794B">
              <w:rPr>
                <w:rFonts w:ascii="Times New Roman" w:hAnsi="Times New Roman" w:cs="Times New Roman"/>
                <w:sz w:val="24"/>
                <w:szCs w:val="24"/>
              </w:rPr>
              <w:t xml:space="preserve"> </w:t>
            </w:r>
          </w:p>
        </w:tc>
        <w:tc>
          <w:tcPr>
            <w:tcW w:w="783" w:type="pct"/>
            <w:tcBorders>
              <w:top w:val="single" w:sz="4" w:space="0" w:color="auto"/>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sidRPr="0067794B">
              <w:rPr>
                <w:rFonts w:ascii="Times New Roman" w:eastAsia="Calibri" w:hAnsi="Times New Roman" w:cs="Times New Roman"/>
                <w:sz w:val="24"/>
                <w:szCs w:val="24"/>
              </w:rPr>
              <w:t>86.82</w:t>
            </w:r>
          </w:p>
        </w:tc>
        <w:tc>
          <w:tcPr>
            <w:tcW w:w="770" w:type="pct"/>
            <w:tcBorders>
              <w:top w:val="single" w:sz="4" w:space="0" w:color="auto"/>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707" w:type="pct"/>
            <w:tcBorders>
              <w:top w:val="single" w:sz="4" w:space="0" w:color="auto"/>
              <w:left w:val="nil"/>
              <w:bottom w:val="nil"/>
              <w:right w:val="nil"/>
            </w:tcBorders>
            <w:hideMark/>
          </w:tcPr>
          <w:p w:rsidR="00C13236" w:rsidRPr="0067794B" w:rsidRDefault="00C13236" w:rsidP="000439C1">
            <w:pPr>
              <w:spacing w:after="0" w:line="240" w:lineRule="auto"/>
              <w:jc w:val="center"/>
              <w:rPr>
                <w:rFonts w:ascii="Times New Roman" w:eastAsia="Calibri" w:hAnsi="Times New Roman" w:cs="Times New Roman"/>
                <w:sz w:val="24"/>
                <w:szCs w:val="24"/>
              </w:rPr>
            </w:pPr>
            <w:r w:rsidRPr="0067794B">
              <w:rPr>
                <w:rFonts w:ascii="Times New Roman" w:eastAsia="Calibri" w:hAnsi="Times New Roman" w:cs="Times New Roman"/>
                <w:sz w:val="24"/>
                <w:szCs w:val="24"/>
              </w:rPr>
              <w:t>Reliable</w:t>
            </w:r>
          </w:p>
        </w:tc>
      </w:tr>
      <w:tr w:rsidR="00C13236" w:rsidRPr="0067794B" w:rsidTr="000439C1">
        <w:tc>
          <w:tcPr>
            <w:tcW w:w="2740" w:type="pct"/>
            <w:tcBorders>
              <w:top w:val="nil"/>
              <w:left w:val="nil"/>
              <w:bottom w:val="nil"/>
              <w:right w:val="nil"/>
            </w:tcBorders>
            <w:hideMark/>
          </w:tcPr>
          <w:p w:rsidR="00C13236" w:rsidRPr="0067794B" w:rsidRDefault="00C13236" w:rsidP="000439C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Citizen participation</w:t>
            </w:r>
          </w:p>
        </w:tc>
        <w:tc>
          <w:tcPr>
            <w:tcW w:w="783" w:type="pct"/>
            <w:tcBorders>
              <w:top w:val="nil"/>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sidRPr="0067794B">
              <w:rPr>
                <w:rFonts w:ascii="Times New Roman" w:eastAsia="Calibri" w:hAnsi="Times New Roman" w:cs="Times New Roman"/>
                <w:sz w:val="24"/>
                <w:szCs w:val="24"/>
              </w:rPr>
              <w:t>80.6</w:t>
            </w:r>
          </w:p>
        </w:tc>
        <w:tc>
          <w:tcPr>
            <w:tcW w:w="770" w:type="pct"/>
            <w:tcBorders>
              <w:top w:val="nil"/>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07" w:type="pct"/>
            <w:tcBorders>
              <w:top w:val="nil"/>
              <w:left w:val="nil"/>
              <w:bottom w:val="nil"/>
              <w:right w:val="nil"/>
            </w:tcBorders>
            <w:hideMark/>
          </w:tcPr>
          <w:p w:rsidR="00C13236" w:rsidRPr="0067794B" w:rsidRDefault="00C13236" w:rsidP="000439C1">
            <w:pPr>
              <w:spacing w:after="0" w:line="240" w:lineRule="auto"/>
              <w:jc w:val="center"/>
              <w:rPr>
                <w:rFonts w:ascii="Times New Roman" w:eastAsia="Calibri" w:hAnsi="Times New Roman" w:cs="Times New Roman"/>
                <w:sz w:val="24"/>
                <w:szCs w:val="24"/>
              </w:rPr>
            </w:pPr>
            <w:r w:rsidRPr="0067794B">
              <w:rPr>
                <w:rFonts w:ascii="Times New Roman" w:eastAsia="Calibri" w:hAnsi="Times New Roman" w:cs="Times New Roman"/>
                <w:sz w:val="24"/>
                <w:szCs w:val="24"/>
              </w:rPr>
              <w:t>Reliable</w:t>
            </w:r>
          </w:p>
        </w:tc>
      </w:tr>
      <w:tr w:rsidR="00C13236" w:rsidRPr="0067794B" w:rsidTr="000439C1">
        <w:tc>
          <w:tcPr>
            <w:tcW w:w="2740" w:type="pct"/>
            <w:tcBorders>
              <w:top w:val="nil"/>
              <w:left w:val="nil"/>
              <w:bottom w:val="nil"/>
              <w:right w:val="nil"/>
            </w:tcBorders>
            <w:hideMark/>
          </w:tcPr>
          <w:p w:rsidR="00C13236" w:rsidRPr="0067794B" w:rsidRDefault="00C13236" w:rsidP="000439C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financing</w:t>
            </w:r>
          </w:p>
        </w:tc>
        <w:tc>
          <w:tcPr>
            <w:tcW w:w="783" w:type="pct"/>
            <w:tcBorders>
              <w:top w:val="nil"/>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sidRPr="0067794B">
              <w:rPr>
                <w:rFonts w:ascii="Times New Roman" w:eastAsia="Calibri" w:hAnsi="Times New Roman" w:cs="Times New Roman"/>
                <w:sz w:val="24"/>
                <w:szCs w:val="24"/>
              </w:rPr>
              <w:t>73.8</w:t>
            </w:r>
          </w:p>
        </w:tc>
        <w:tc>
          <w:tcPr>
            <w:tcW w:w="770" w:type="pct"/>
            <w:tcBorders>
              <w:top w:val="nil"/>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07" w:type="pct"/>
            <w:tcBorders>
              <w:top w:val="nil"/>
              <w:left w:val="nil"/>
              <w:bottom w:val="nil"/>
              <w:right w:val="nil"/>
            </w:tcBorders>
            <w:hideMark/>
          </w:tcPr>
          <w:p w:rsidR="00C13236" w:rsidRPr="0067794B" w:rsidRDefault="00C13236" w:rsidP="000439C1">
            <w:pPr>
              <w:spacing w:after="0" w:line="240" w:lineRule="auto"/>
              <w:jc w:val="center"/>
              <w:rPr>
                <w:rFonts w:ascii="Times New Roman" w:eastAsia="Calibri" w:hAnsi="Times New Roman" w:cs="Times New Roman"/>
                <w:sz w:val="24"/>
                <w:szCs w:val="24"/>
              </w:rPr>
            </w:pPr>
            <w:r w:rsidRPr="0067794B">
              <w:rPr>
                <w:rFonts w:ascii="Times New Roman" w:eastAsia="Calibri" w:hAnsi="Times New Roman" w:cs="Times New Roman"/>
                <w:sz w:val="24"/>
                <w:szCs w:val="24"/>
              </w:rPr>
              <w:t>Reliable</w:t>
            </w:r>
          </w:p>
        </w:tc>
      </w:tr>
      <w:tr w:rsidR="00C13236" w:rsidRPr="0067794B" w:rsidTr="000439C1">
        <w:tc>
          <w:tcPr>
            <w:tcW w:w="2740" w:type="pct"/>
            <w:tcBorders>
              <w:top w:val="nil"/>
              <w:left w:val="nil"/>
              <w:bottom w:val="nil"/>
              <w:right w:val="nil"/>
            </w:tcBorders>
            <w:hideMark/>
          </w:tcPr>
          <w:p w:rsidR="00C13236" w:rsidRPr="0067794B" w:rsidRDefault="00C13236" w:rsidP="000439C1">
            <w:pPr>
              <w:spacing w:line="240" w:lineRule="auto"/>
              <w:jc w:val="both"/>
              <w:rPr>
                <w:rFonts w:ascii="Times New Roman" w:hAnsi="Times New Roman" w:cs="Times New Roman"/>
                <w:sz w:val="24"/>
                <w:szCs w:val="24"/>
              </w:rPr>
            </w:pPr>
            <w:r>
              <w:rPr>
                <w:rFonts w:ascii="Times New Roman" w:hAnsi="Times New Roman" w:cs="Times New Roman"/>
                <w:sz w:val="24"/>
                <w:szCs w:val="24"/>
              </w:rPr>
              <w:t>Technical capacity</w:t>
            </w:r>
            <w:r w:rsidRPr="0067794B">
              <w:rPr>
                <w:rFonts w:ascii="Times New Roman" w:hAnsi="Times New Roman" w:cs="Times New Roman"/>
                <w:sz w:val="24"/>
                <w:szCs w:val="24"/>
              </w:rPr>
              <w:t xml:space="preserve"> </w:t>
            </w:r>
          </w:p>
        </w:tc>
        <w:tc>
          <w:tcPr>
            <w:tcW w:w="783" w:type="pct"/>
            <w:tcBorders>
              <w:top w:val="nil"/>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sidRPr="0067794B">
              <w:rPr>
                <w:rFonts w:ascii="Times New Roman" w:eastAsia="Calibri" w:hAnsi="Times New Roman" w:cs="Times New Roman"/>
                <w:sz w:val="24"/>
                <w:szCs w:val="24"/>
              </w:rPr>
              <w:t>88.01</w:t>
            </w:r>
          </w:p>
        </w:tc>
        <w:tc>
          <w:tcPr>
            <w:tcW w:w="770" w:type="pct"/>
            <w:tcBorders>
              <w:top w:val="nil"/>
              <w:left w:val="nil"/>
              <w:bottom w:val="nil"/>
              <w:right w:val="nil"/>
            </w:tcBorders>
            <w:hideMark/>
          </w:tcPr>
          <w:p w:rsidR="00C13236" w:rsidRPr="0067794B" w:rsidRDefault="00C13236" w:rsidP="000439C1">
            <w:pPr>
              <w:spacing w:after="0" w:line="24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07" w:type="pct"/>
            <w:tcBorders>
              <w:top w:val="nil"/>
              <w:left w:val="nil"/>
              <w:bottom w:val="nil"/>
              <w:right w:val="nil"/>
            </w:tcBorders>
            <w:hideMark/>
          </w:tcPr>
          <w:p w:rsidR="00C13236" w:rsidRPr="0067794B" w:rsidRDefault="00C13236" w:rsidP="000439C1">
            <w:pPr>
              <w:spacing w:line="240" w:lineRule="auto"/>
              <w:jc w:val="both"/>
              <w:rPr>
                <w:rFonts w:ascii="Times New Roman" w:hAnsi="Times New Roman" w:cs="Times New Roman"/>
                <w:sz w:val="24"/>
                <w:szCs w:val="24"/>
              </w:rPr>
            </w:pPr>
            <w:r w:rsidRPr="0067794B">
              <w:rPr>
                <w:rFonts w:ascii="Times New Roman" w:hAnsi="Times New Roman" w:cs="Times New Roman"/>
                <w:sz w:val="24"/>
                <w:szCs w:val="24"/>
              </w:rPr>
              <w:t>Reliable</w:t>
            </w:r>
          </w:p>
        </w:tc>
      </w:tr>
      <w:tr w:rsidR="00C13236" w:rsidRPr="0067794B" w:rsidTr="000439C1">
        <w:tc>
          <w:tcPr>
            <w:tcW w:w="2740" w:type="pct"/>
            <w:tcBorders>
              <w:top w:val="nil"/>
              <w:left w:val="nil"/>
              <w:bottom w:val="nil"/>
              <w:right w:val="nil"/>
            </w:tcBorders>
          </w:tcPr>
          <w:p w:rsidR="00C13236" w:rsidRPr="0067794B" w:rsidRDefault="00C13236" w:rsidP="000439C1">
            <w:pPr>
              <w:spacing w:line="240" w:lineRule="auto"/>
              <w:jc w:val="both"/>
              <w:rPr>
                <w:rFonts w:ascii="Times New Roman" w:hAnsi="Times New Roman" w:cs="Times New Roman"/>
                <w:sz w:val="24"/>
                <w:szCs w:val="24"/>
              </w:rPr>
            </w:pPr>
            <w:r>
              <w:rPr>
                <w:rFonts w:ascii="Times New Roman" w:hAnsi="Times New Roman" w:cs="Times New Roman"/>
                <w:sz w:val="24"/>
                <w:szCs w:val="24"/>
              </w:rPr>
              <w:t>Project design variation</w:t>
            </w:r>
          </w:p>
        </w:tc>
        <w:tc>
          <w:tcPr>
            <w:tcW w:w="783" w:type="pct"/>
            <w:tcBorders>
              <w:top w:val="nil"/>
              <w:left w:val="nil"/>
              <w:bottom w:val="nil"/>
              <w:right w:val="nil"/>
            </w:tcBorders>
          </w:tcPr>
          <w:p w:rsidR="00C13236" w:rsidRPr="0067794B" w:rsidRDefault="00C13236" w:rsidP="000439C1">
            <w:pPr>
              <w:spacing w:after="0" w:line="240" w:lineRule="auto"/>
              <w:jc w:val="right"/>
              <w:rPr>
                <w:rFonts w:ascii="Times New Roman" w:eastAsia="Calibri" w:hAnsi="Times New Roman" w:cs="Times New Roman"/>
                <w:sz w:val="24"/>
                <w:szCs w:val="24"/>
              </w:rPr>
            </w:pPr>
            <w:r w:rsidRPr="0067794B">
              <w:rPr>
                <w:rFonts w:ascii="Times New Roman" w:eastAsia="Calibri" w:hAnsi="Times New Roman" w:cs="Times New Roman"/>
                <w:sz w:val="24"/>
                <w:szCs w:val="24"/>
              </w:rPr>
              <w:t>77.5</w:t>
            </w:r>
          </w:p>
        </w:tc>
        <w:tc>
          <w:tcPr>
            <w:tcW w:w="770" w:type="pct"/>
            <w:tcBorders>
              <w:top w:val="nil"/>
              <w:left w:val="nil"/>
              <w:bottom w:val="nil"/>
              <w:right w:val="nil"/>
            </w:tcBorders>
          </w:tcPr>
          <w:p w:rsidR="00C13236" w:rsidRPr="0067794B" w:rsidRDefault="00C13236" w:rsidP="000439C1">
            <w:pPr>
              <w:spacing w:after="0" w:line="24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707" w:type="pct"/>
            <w:tcBorders>
              <w:top w:val="nil"/>
              <w:left w:val="nil"/>
              <w:bottom w:val="nil"/>
              <w:right w:val="nil"/>
            </w:tcBorders>
          </w:tcPr>
          <w:p w:rsidR="00C13236" w:rsidRPr="0067794B" w:rsidRDefault="00C13236" w:rsidP="000439C1">
            <w:pPr>
              <w:spacing w:line="24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Reliable </w:t>
            </w:r>
          </w:p>
        </w:tc>
      </w:tr>
      <w:tr w:rsidR="00C13236" w:rsidRPr="0067794B" w:rsidTr="000439C1">
        <w:tc>
          <w:tcPr>
            <w:tcW w:w="2740" w:type="pct"/>
            <w:tcBorders>
              <w:top w:val="nil"/>
              <w:left w:val="nil"/>
              <w:bottom w:val="single" w:sz="4" w:space="0" w:color="auto"/>
              <w:right w:val="nil"/>
            </w:tcBorders>
          </w:tcPr>
          <w:p w:rsidR="00C13236" w:rsidRPr="0067794B" w:rsidRDefault="00C13236" w:rsidP="000439C1">
            <w:pPr>
              <w:spacing w:line="240" w:lineRule="auto"/>
              <w:jc w:val="both"/>
              <w:rPr>
                <w:rFonts w:ascii="Times New Roman" w:hAnsi="Times New Roman" w:cs="Times New Roman"/>
                <w:sz w:val="24"/>
                <w:szCs w:val="24"/>
              </w:rPr>
            </w:pPr>
          </w:p>
        </w:tc>
        <w:tc>
          <w:tcPr>
            <w:tcW w:w="783" w:type="pct"/>
            <w:tcBorders>
              <w:top w:val="nil"/>
              <w:left w:val="nil"/>
              <w:bottom w:val="single" w:sz="4" w:space="0" w:color="auto"/>
              <w:right w:val="nil"/>
            </w:tcBorders>
          </w:tcPr>
          <w:p w:rsidR="00C13236" w:rsidRPr="0067794B" w:rsidRDefault="00C13236" w:rsidP="000439C1">
            <w:pPr>
              <w:spacing w:after="0" w:line="240" w:lineRule="auto"/>
              <w:rPr>
                <w:rFonts w:ascii="Times New Roman" w:eastAsia="Calibri" w:hAnsi="Times New Roman" w:cs="Times New Roman"/>
                <w:sz w:val="24"/>
                <w:szCs w:val="24"/>
              </w:rPr>
            </w:pPr>
          </w:p>
        </w:tc>
        <w:tc>
          <w:tcPr>
            <w:tcW w:w="770" w:type="pct"/>
            <w:tcBorders>
              <w:top w:val="nil"/>
              <w:left w:val="nil"/>
              <w:bottom w:val="single" w:sz="4" w:space="0" w:color="auto"/>
              <w:right w:val="nil"/>
            </w:tcBorders>
          </w:tcPr>
          <w:p w:rsidR="00C13236" w:rsidRPr="0067794B" w:rsidRDefault="00C13236" w:rsidP="000439C1">
            <w:pPr>
              <w:spacing w:after="0" w:line="240" w:lineRule="auto"/>
              <w:jc w:val="right"/>
              <w:rPr>
                <w:rFonts w:ascii="Times New Roman" w:eastAsia="Calibri" w:hAnsi="Times New Roman" w:cs="Times New Roman"/>
                <w:sz w:val="24"/>
                <w:szCs w:val="24"/>
              </w:rPr>
            </w:pPr>
          </w:p>
        </w:tc>
        <w:tc>
          <w:tcPr>
            <w:tcW w:w="707" w:type="pct"/>
            <w:tcBorders>
              <w:top w:val="nil"/>
              <w:left w:val="nil"/>
              <w:bottom w:val="single" w:sz="4" w:space="0" w:color="auto"/>
              <w:right w:val="nil"/>
            </w:tcBorders>
          </w:tcPr>
          <w:p w:rsidR="00C13236" w:rsidRPr="0067794B" w:rsidRDefault="00C13236" w:rsidP="000439C1">
            <w:pPr>
              <w:spacing w:line="240" w:lineRule="auto"/>
              <w:jc w:val="both"/>
              <w:rPr>
                <w:rFonts w:ascii="Times New Roman" w:hAnsi="Times New Roman" w:cs="Times New Roman"/>
                <w:sz w:val="24"/>
                <w:szCs w:val="24"/>
              </w:rPr>
            </w:pPr>
          </w:p>
        </w:tc>
      </w:tr>
    </w:tbl>
    <w:p w:rsidR="00C13236" w:rsidRPr="0067794B" w:rsidRDefault="00C13236" w:rsidP="00C13236">
      <w:pPr>
        <w:spacing w:before="240" w:after="200" w:line="360" w:lineRule="auto"/>
        <w:jc w:val="both"/>
        <w:rPr>
          <w:rFonts w:ascii="Times New Roman" w:eastAsia="Calibri" w:hAnsi="Times New Roman" w:cs="Times New Roman"/>
          <w:sz w:val="24"/>
          <w:szCs w:val="24"/>
        </w:rPr>
      </w:pPr>
      <w:r w:rsidRPr="0067794B">
        <w:rPr>
          <w:rFonts w:ascii="Times New Roman" w:eastAsia="Calibri" w:hAnsi="Times New Roman" w:cs="Times New Roman"/>
          <w:sz w:val="24"/>
          <w:szCs w:val="24"/>
        </w:rPr>
        <w:t xml:space="preserve">From the results in Table 4.8, all the variables were reliable since their </w:t>
      </w:r>
      <w:proofErr w:type="spellStart"/>
      <w:r w:rsidRPr="0067794B">
        <w:rPr>
          <w:rFonts w:ascii="Times New Roman" w:eastAsia="Calibri" w:hAnsi="Times New Roman" w:cs="Times New Roman"/>
          <w:sz w:val="24"/>
          <w:szCs w:val="24"/>
        </w:rPr>
        <w:t>Cronbach</w:t>
      </w:r>
      <w:proofErr w:type="spellEnd"/>
      <w:r w:rsidRPr="0067794B">
        <w:rPr>
          <w:rFonts w:ascii="Times New Roman" w:eastAsia="Calibri" w:hAnsi="Times New Roman" w:cs="Times New Roman"/>
          <w:sz w:val="24"/>
          <w:szCs w:val="24"/>
        </w:rPr>
        <w:t xml:space="preserve"> Alpha value were greater than 0.7 in which the </w:t>
      </w:r>
      <w:r>
        <w:rPr>
          <w:rFonts w:ascii="Times New Roman" w:eastAsia="Calibri" w:hAnsi="Times New Roman" w:cs="Times New Roman"/>
          <w:sz w:val="24"/>
          <w:szCs w:val="24"/>
        </w:rPr>
        <w:t>technical capacity</w:t>
      </w:r>
      <w:r w:rsidRPr="0067794B">
        <w:rPr>
          <w:rFonts w:ascii="Times New Roman" w:eastAsia="Calibri" w:hAnsi="Times New Roman" w:cs="Times New Roman"/>
          <w:sz w:val="24"/>
          <w:szCs w:val="24"/>
        </w:rPr>
        <w:t xml:space="preserve"> </w:t>
      </w:r>
      <w:r>
        <w:rPr>
          <w:rFonts w:ascii="Times New Roman" w:hAnsi="Times New Roman" w:cs="Times New Roman"/>
          <w:sz w:val="24"/>
          <w:szCs w:val="24"/>
        </w:rPr>
        <w:t>having</w:t>
      </w:r>
      <w:r w:rsidRPr="0067794B">
        <w:rPr>
          <w:rFonts w:ascii="Times New Roman" w:hAnsi="Times New Roman" w:cs="Times New Roman"/>
          <w:sz w:val="24"/>
          <w:szCs w:val="24"/>
        </w:rPr>
        <w:t xml:space="preserve"> the highes</w:t>
      </w:r>
      <w:r>
        <w:rPr>
          <w:rFonts w:ascii="Times New Roman" w:hAnsi="Times New Roman" w:cs="Times New Roman"/>
          <w:sz w:val="24"/>
          <w:szCs w:val="24"/>
        </w:rPr>
        <w:t xml:space="preserve">t </w:t>
      </w:r>
      <w:proofErr w:type="spellStart"/>
      <w:r>
        <w:rPr>
          <w:rFonts w:ascii="Times New Roman" w:hAnsi="Times New Roman" w:cs="Times New Roman"/>
          <w:sz w:val="24"/>
          <w:szCs w:val="24"/>
        </w:rPr>
        <w:t>Cronbach</w:t>
      </w:r>
      <w:proofErr w:type="spellEnd"/>
      <w:r>
        <w:rPr>
          <w:rFonts w:ascii="Times New Roman" w:hAnsi="Times New Roman" w:cs="Times New Roman"/>
          <w:sz w:val="24"/>
          <w:szCs w:val="24"/>
        </w:rPr>
        <w:t xml:space="preserve"> Alpha value of 0.8801</w:t>
      </w:r>
      <w:r w:rsidRPr="0067794B">
        <w:rPr>
          <w:rFonts w:ascii="Times New Roman" w:hAnsi="Times New Roman" w:cs="Times New Roman"/>
          <w:sz w:val="24"/>
          <w:szCs w:val="24"/>
        </w:rPr>
        <w:t xml:space="preserve"> and </w:t>
      </w:r>
      <w:r>
        <w:rPr>
          <w:rFonts w:ascii="Times New Roman" w:hAnsi="Times New Roman" w:cs="Times New Roman"/>
          <w:sz w:val="24"/>
          <w:szCs w:val="24"/>
        </w:rPr>
        <w:t xml:space="preserve">project financing </w:t>
      </w:r>
      <w:r w:rsidRPr="0067794B">
        <w:rPr>
          <w:rFonts w:ascii="Times New Roman" w:hAnsi="Times New Roman" w:cs="Times New Roman"/>
          <w:sz w:val="24"/>
          <w:szCs w:val="24"/>
        </w:rPr>
        <w:t xml:space="preserve"> </w:t>
      </w:r>
      <w:r>
        <w:rPr>
          <w:rFonts w:ascii="Times New Roman" w:hAnsi="Times New Roman" w:cs="Times New Roman"/>
          <w:sz w:val="24"/>
          <w:szCs w:val="24"/>
        </w:rPr>
        <w:t>having</w:t>
      </w:r>
      <w:r w:rsidRPr="0067794B">
        <w:rPr>
          <w:rFonts w:ascii="Times New Roman" w:hAnsi="Times New Roman" w:cs="Times New Roman"/>
          <w:sz w:val="24"/>
          <w:szCs w:val="24"/>
        </w:rPr>
        <w:t xml:space="preserve"> the lowest </w:t>
      </w:r>
      <w:proofErr w:type="spellStart"/>
      <w:r w:rsidRPr="0067794B">
        <w:rPr>
          <w:rFonts w:ascii="Times New Roman" w:hAnsi="Times New Roman" w:cs="Times New Roman"/>
          <w:sz w:val="24"/>
          <w:szCs w:val="24"/>
        </w:rPr>
        <w:t>Cronbach</w:t>
      </w:r>
      <w:proofErr w:type="spellEnd"/>
      <w:r w:rsidRPr="0067794B">
        <w:rPr>
          <w:rFonts w:ascii="Times New Roman" w:hAnsi="Times New Roman" w:cs="Times New Roman"/>
          <w:sz w:val="24"/>
          <w:szCs w:val="24"/>
        </w:rPr>
        <w:t xml:space="preserve"> Alpha value of 0.738</w:t>
      </w:r>
      <w:r w:rsidRPr="0067794B">
        <w:rPr>
          <w:rFonts w:ascii="Times New Roman" w:eastAsia="Calibri" w:hAnsi="Times New Roman" w:cs="Times New Roman"/>
          <w:sz w:val="24"/>
          <w:szCs w:val="24"/>
        </w:rPr>
        <w:t xml:space="preserve">. As per </w:t>
      </w:r>
      <w:r w:rsidRPr="0067794B">
        <w:rPr>
          <w:rFonts w:ascii="Times New Roman" w:eastAsia="Calibri" w:hAnsi="Times New Roman" w:cs="Times New Roman"/>
          <w:sz w:val="24"/>
          <w:szCs w:val="24"/>
        </w:rPr>
        <w:lastRenderedPageBreak/>
        <w:t>Malhotra (2015), if all the variables are reliable then the research instrument is reliable and therefore no amendments required.</w:t>
      </w:r>
    </w:p>
    <w:p w:rsidR="00C13236" w:rsidRPr="0067794B" w:rsidRDefault="00C13236" w:rsidP="00C13236">
      <w:pPr>
        <w:pStyle w:val="Heading2"/>
        <w:rPr>
          <w:rFonts w:cs="Times New Roman"/>
          <w:szCs w:val="24"/>
        </w:rPr>
      </w:pPr>
      <w:bookmarkStart w:id="80" w:name="_Toc514917290"/>
      <w:bookmarkStart w:id="81" w:name="_Toc513480116"/>
      <w:bookmarkStart w:id="82" w:name="_Toc510793987"/>
      <w:bookmarkStart w:id="83" w:name="_Toc487810842"/>
      <w:bookmarkStart w:id="84" w:name="_Toc486516455"/>
      <w:bookmarkStart w:id="85" w:name="_Toc477764018"/>
      <w:r w:rsidRPr="0067794B">
        <w:rPr>
          <w:rFonts w:cs="Times New Roman"/>
          <w:szCs w:val="24"/>
        </w:rPr>
        <w:t>4.5 Validity Analysis</w:t>
      </w:r>
      <w:bookmarkEnd w:id="80"/>
      <w:bookmarkEnd w:id="81"/>
      <w:bookmarkEnd w:id="82"/>
      <w:bookmarkEnd w:id="83"/>
      <w:bookmarkEnd w:id="84"/>
      <w:bookmarkEnd w:id="85"/>
      <w:r w:rsidRPr="0067794B">
        <w:rPr>
          <w:rFonts w:cs="Times New Roman"/>
          <w:szCs w:val="24"/>
        </w:rPr>
        <w:t xml:space="preserve"> </w:t>
      </w:r>
    </w:p>
    <w:p w:rsidR="00C13236" w:rsidRPr="0067794B" w:rsidRDefault="00C13236" w:rsidP="00C13236">
      <w:pPr>
        <w:spacing w:line="360" w:lineRule="auto"/>
        <w:rPr>
          <w:rFonts w:ascii="Times New Roman" w:hAnsi="Times New Roman" w:cs="Times New Roman"/>
          <w:sz w:val="24"/>
          <w:szCs w:val="24"/>
        </w:rPr>
      </w:pPr>
      <w:r w:rsidRPr="0067794B">
        <w:rPr>
          <w:rFonts w:ascii="Times New Roman" w:hAnsi="Times New Roman" w:cs="Times New Roman"/>
          <w:sz w:val="24"/>
          <w:szCs w:val="24"/>
        </w:rPr>
        <w:t>In order to establish the validity of study instruments, tests of sampling adequacy were used. This enabled the study identify whether the items of the latent variables were appropriate for further analysis. Table 4.9 shows Kaiser-Meyer-</w:t>
      </w:r>
      <w:proofErr w:type="spellStart"/>
      <w:r w:rsidRPr="0067794B">
        <w:rPr>
          <w:rFonts w:ascii="Times New Roman" w:hAnsi="Times New Roman" w:cs="Times New Roman"/>
          <w:sz w:val="24"/>
          <w:szCs w:val="24"/>
        </w:rPr>
        <w:t>Olkin</w:t>
      </w:r>
      <w:proofErr w:type="spellEnd"/>
      <w:r w:rsidRPr="0067794B">
        <w:rPr>
          <w:rFonts w:ascii="Times New Roman" w:hAnsi="Times New Roman" w:cs="Times New Roman"/>
          <w:sz w:val="24"/>
          <w:szCs w:val="24"/>
        </w:rPr>
        <w:t xml:space="preserve"> (KMO) test of sampling adequacy and Bartlett's test of </w:t>
      </w:r>
      <w:proofErr w:type="spellStart"/>
      <w:r w:rsidRPr="0067794B">
        <w:rPr>
          <w:rFonts w:ascii="Times New Roman" w:hAnsi="Times New Roman" w:cs="Times New Roman"/>
          <w:sz w:val="24"/>
          <w:szCs w:val="24"/>
        </w:rPr>
        <w:t>sphericity</w:t>
      </w:r>
      <w:proofErr w:type="spellEnd"/>
      <w:r w:rsidRPr="0067794B">
        <w:rPr>
          <w:rFonts w:ascii="Times New Roman" w:hAnsi="Times New Roman" w:cs="Times New Roman"/>
          <w:sz w:val="24"/>
          <w:szCs w:val="24"/>
        </w:rPr>
        <w:t>. The findings are as shown in table 4.9</w:t>
      </w:r>
      <w:r>
        <w:rPr>
          <w:rFonts w:ascii="Times New Roman" w:hAnsi="Times New Roman" w:cs="Times New Roman"/>
          <w:sz w:val="24"/>
          <w:szCs w:val="24"/>
        </w:rPr>
        <w:t>.</w:t>
      </w:r>
    </w:p>
    <w:p w:rsidR="00C13236" w:rsidRPr="0067794B" w:rsidRDefault="00C13236" w:rsidP="00C13236">
      <w:pPr>
        <w:pStyle w:val="Caption"/>
        <w:keepNext/>
        <w:spacing w:line="360" w:lineRule="auto"/>
      </w:pPr>
      <w:bookmarkStart w:id="86" w:name="_Toc510449194"/>
      <w:r w:rsidRPr="0067794B">
        <w:t>Table 4.</w:t>
      </w:r>
      <w:r>
        <w:t>7</w:t>
      </w:r>
      <w:r w:rsidRPr="0067794B">
        <w:t xml:space="preserve">: Sampling Adequacy and Bartlett's Test of </w:t>
      </w:r>
      <w:proofErr w:type="spellStart"/>
      <w:r w:rsidRPr="0067794B">
        <w:t>Sphericity</w:t>
      </w:r>
      <w:bookmarkEnd w:id="86"/>
      <w:proofErr w:type="spellEnd"/>
    </w:p>
    <w:tbl>
      <w:tblPr>
        <w:tblW w:w="0" w:type="auto"/>
        <w:tblBorders>
          <w:top w:val="single" w:sz="4" w:space="0" w:color="auto"/>
          <w:bottom w:val="single" w:sz="4" w:space="0" w:color="auto"/>
        </w:tblBorders>
        <w:tblLook w:val="04A0" w:firstRow="1" w:lastRow="0" w:firstColumn="1" w:lastColumn="0" w:noHBand="0" w:noVBand="1"/>
      </w:tblPr>
      <w:tblGrid>
        <w:gridCol w:w="2638"/>
        <w:gridCol w:w="971"/>
        <w:gridCol w:w="1505"/>
        <w:gridCol w:w="1176"/>
        <w:gridCol w:w="1213"/>
        <w:gridCol w:w="1523"/>
      </w:tblGrid>
      <w:tr w:rsidR="00C13236" w:rsidRPr="0067794B" w:rsidTr="000439C1">
        <w:tc>
          <w:tcPr>
            <w:tcW w:w="2638" w:type="dxa"/>
            <w:vMerge w:val="restart"/>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b/>
                <w:sz w:val="24"/>
                <w:szCs w:val="24"/>
              </w:rPr>
            </w:pPr>
            <w:r w:rsidRPr="0067794B">
              <w:rPr>
                <w:rFonts w:ascii="Times New Roman" w:hAnsi="Times New Roman" w:cs="Times New Roman"/>
                <w:b/>
                <w:sz w:val="24"/>
                <w:szCs w:val="24"/>
              </w:rPr>
              <w:t>Factors</w:t>
            </w:r>
          </w:p>
        </w:tc>
        <w:tc>
          <w:tcPr>
            <w:tcW w:w="971" w:type="dxa"/>
            <w:vMerge w:val="restart"/>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b/>
                <w:sz w:val="24"/>
                <w:szCs w:val="24"/>
              </w:rPr>
            </w:pPr>
            <w:r w:rsidRPr="0067794B">
              <w:rPr>
                <w:rFonts w:ascii="Times New Roman" w:hAnsi="Times New Roman" w:cs="Times New Roman"/>
                <w:b/>
                <w:sz w:val="24"/>
                <w:szCs w:val="24"/>
              </w:rPr>
              <w:t>KMO Test</w:t>
            </w:r>
          </w:p>
        </w:tc>
        <w:tc>
          <w:tcPr>
            <w:tcW w:w="3894" w:type="dxa"/>
            <w:gridSpan w:val="3"/>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jc w:val="center"/>
              <w:rPr>
                <w:rFonts w:ascii="Times New Roman" w:hAnsi="Times New Roman" w:cs="Times New Roman"/>
                <w:b/>
                <w:sz w:val="24"/>
                <w:szCs w:val="24"/>
              </w:rPr>
            </w:pPr>
            <w:r w:rsidRPr="0067794B">
              <w:rPr>
                <w:rFonts w:ascii="Times New Roman" w:hAnsi="Times New Roman" w:cs="Times New Roman"/>
                <w:b/>
                <w:sz w:val="24"/>
                <w:szCs w:val="24"/>
              </w:rPr>
              <w:t xml:space="preserve">Bartlett's Test of </w:t>
            </w:r>
            <w:proofErr w:type="spellStart"/>
            <w:r w:rsidRPr="0067794B">
              <w:rPr>
                <w:rFonts w:ascii="Times New Roman" w:hAnsi="Times New Roman" w:cs="Times New Roman"/>
                <w:b/>
                <w:sz w:val="24"/>
                <w:szCs w:val="24"/>
              </w:rPr>
              <w:t>Sphericity</w:t>
            </w:r>
            <w:proofErr w:type="spellEnd"/>
          </w:p>
        </w:tc>
        <w:tc>
          <w:tcPr>
            <w:tcW w:w="1523" w:type="dxa"/>
            <w:vMerge w:val="restart"/>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b/>
                <w:sz w:val="24"/>
                <w:szCs w:val="24"/>
              </w:rPr>
            </w:pPr>
            <w:r w:rsidRPr="0067794B">
              <w:rPr>
                <w:rFonts w:ascii="Times New Roman" w:hAnsi="Times New Roman" w:cs="Times New Roman"/>
                <w:b/>
                <w:sz w:val="24"/>
                <w:szCs w:val="24"/>
              </w:rPr>
              <w:t>Determinant</w:t>
            </w:r>
          </w:p>
        </w:tc>
      </w:tr>
      <w:tr w:rsidR="00C13236" w:rsidRPr="0067794B" w:rsidTr="000439C1">
        <w:tc>
          <w:tcPr>
            <w:tcW w:w="0" w:type="auto"/>
            <w:vMerge/>
            <w:tcBorders>
              <w:top w:val="single" w:sz="4" w:space="0" w:color="auto"/>
              <w:left w:val="nil"/>
              <w:bottom w:val="single" w:sz="4" w:space="0" w:color="auto"/>
              <w:right w:val="nil"/>
            </w:tcBorders>
            <w:vAlign w:val="center"/>
            <w:hideMark/>
          </w:tcPr>
          <w:p w:rsidR="00C13236" w:rsidRPr="0067794B" w:rsidRDefault="00C13236" w:rsidP="000439C1">
            <w:pPr>
              <w:spacing w:after="0"/>
              <w:rPr>
                <w:rFonts w:ascii="Times New Roman" w:hAnsi="Times New Roman" w:cs="Times New Roman"/>
                <w:b/>
                <w:sz w:val="24"/>
                <w:szCs w:val="24"/>
              </w:rPr>
            </w:pPr>
          </w:p>
        </w:tc>
        <w:tc>
          <w:tcPr>
            <w:tcW w:w="0" w:type="auto"/>
            <w:vMerge/>
            <w:tcBorders>
              <w:top w:val="single" w:sz="4" w:space="0" w:color="auto"/>
              <w:left w:val="nil"/>
              <w:bottom w:val="single" w:sz="4" w:space="0" w:color="auto"/>
              <w:right w:val="nil"/>
            </w:tcBorders>
            <w:vAlign w:val="center"/>
            <w:hideMark/>
          </w:tcPr>
          <w:p w:rsidR="00C13236" w:rsidRPr="0067794B" w:rsidRDefault="00C13236" w:rsidP="000439C1">
            <w:pPr>
              <w:spacing w:after="0"/>
              <w:rPr>
                <w:rFonts w:ascii="Times New Roman" w:hAnsi="Times New Roman" w:cs="Times New Roman"/>
                <w:b/>
                <w:sz w:val="24"/>
                <w:szCs w:val="24"/>
              </w:rPr>
            </w:pPr>
          </w:p>
        </w:tc>
        <w:tc>
          <w:tcPr>
            <w:tcW w:w="1505" w:type="dxa"/>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b/>
                <w:sz w:val="24"/>
                <w:szCs w:val="24"/>
              </w:rPr>
            </w:pPr>
            <w:r w:rsidRPr="0067794B">
              <w:rPr>
                <w:rFonts w:ascii="Times New Roman" w:hAnsi="Times New Roman" w:cs="Times New Roman"/>
                <w:b/>
                <w:sz w:val="24"/>
                <w:szCs w:val="24"/>
              </w:rPr>
              <w:t>Approx. Chi-Square</w:t>
            </w:r>
          </w:p>
        </w:tc>
        <w:tc>
          <w:tcPr>
            <w:tcW w:w="1176" w:type="dxa"/>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b/>
                <w:sz w:val="24"/>
                <w:szCs w:val="24"/>
              </w:rPr>
            </w:pPr>
            <w:proofErr w:type="spellStart"/>
            <w:r w:rsidRPr="0067794B">
              <w:rPr>
                <w:rFonts w:ascii="Times New Roman" w:hAnsi="Times New Roman" w:cs="Times New Roman"/>
                <w:b/>
                <w:sz w:val="24"/>
                <w:szCs w:val="24"/>
              </w:rPr>
              <w:t>df</w:t>
            </w:r>
            <w:proofErr w:type="spellEnd"/>
          </w:p>
        </w:tc>
        <w:tc>
          <w:tcPr>
            <w:tcW w:w="1213" w:type="dxa"/>
            <w:tcBorders>
              <w:top w:val="single" w:sz="4" w:space="0" w:color="auto"/>
              <w:left w:val="nil"/>
              <w:bottom w:val="single" w:sz="4" w:space="0" w:color="auto"/>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b/>
                <w:sz w:val="24"/>
                <w:szCs w:val="24"/>
              </w:rPr>
            </w:pPr>
            <w:r w:rsidRPr="0067794B">
              <w:rPr>
                <w:rFonts w:ascii="Times New Roman" w:hAnsi="Times New Roman" w:cs="Times New Roman"/>
                <w:b/>
                <w:sz w:val="24"/>
                <w:szCs w:val="24"/>
              </w:rPr>
              <w:t>Sig.</w:t>
            </w:r>
          </w:p>
        </w:tc>
        <w:tc>
          <w:tcPr>
            <w:tcW w:w="0" w:type="auto"/>
            <w:vMerge/>
            <w:tcBorders>
              <w:top w:val="single" w:sz="4" w:space="0" w:color="auto"/>
              <w:left w:val="nil"/>
              <w:bottom w:val="single" w:sz="4" w:space="0" w:color="auto"/>
              <w:right w:val="nil"/>
            </w:tcBorders>
            <w:vAlign w:val="center"/>
            <w:hideMark/>
          </w:tcPr>
          <w:p w:rsidR="00C13236" w:rsidRPr="0067794B" w:rsidRDefault="00C13236" w:rsidP="000439C1">
            <w:pPr>
              <w:spacing w:after="0"/>
              <w:rPr>
                <w:rFonts w:ascii="Times New Roman" w:hAnsi="Times New Roman" w:cs="Times New Roman"/>
                <w:b/>
                <w:sz w:val="24"/>
                <w:szCs w:val="24"/>
              </w:rPr>
            </w:pPr>
          </w:p>
        </w:tc>
      </w:tr>
      <w:tr w:rsidR="00C13236" w:rsidRPr="0067794B" w:rsidTr="000439C1">
        <w:tc>
          <w:tcPr>
            <w:tcW w:w="2638" w:type="dxa"/>
            <w:tcBorders>
              <w:top w:val="single" w:sz="4" w:space="0" w:color="auto"/>
              <w:left w:val="nil"/>
              <w:bottom w:val="nil"/>
              <w:right w:val="nil"/>
            </w:tcBorders>
          </w:tcPr>
          <w:p w:rsidR="00C13236" w:rsidRPr="0067794B" w:rsidRDefault="00C13236" w:rsidP="000439C1">
            <w:pPr>
              <w:spacing w:line="240" w:lineRule="auto"/>
              <w:jc w:val="both"/>
              <w:rPr>
                <w:rFonts w:ascii="Times New Roman" w:hAnsi="Times New Roman" w:cs="Times New Roman"/>
                <w:sz w:val="24"/>
                <w:szCs w:val="24"/>
              </w:rPr>
            </w:pPr>
            <w:r>
              <w:rPr>
                <w:rFonts w:ascii="Times New Roman" w:hAnsi="Times New Roman" w:cs="Times New Roman"/>
                <w:sz w:val="24"/>
                <w:szCs w:val="24"/>
              </w:rPr>
              <w:t>Delay in project completion</w:t>
            </w:r>
            <w:r w:rsidRPr="0067794B">
              <w:rPr>
                <w:rFonts w:ascii="Times New Roman" w:hAnsi="Times New Roman" w:cs="Times New Roman"/>
                <w:sz w:val="24"/>
                <w:szCs w:val="24"/>
              </w:rPr>
              <w:t xml:space="preserve"> </w:t>
            </w:r>
          </w:p>
        </w:tc>
        <w:tc>
          <w:tcPr>
            <w:tcW w:w="971" w:type="dxa"/>
            <w:tcBorders>
              <w:top w:val="single" w:sz="4" w:space="0" w:color="auto"/>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0.8862</w:t>
            </w:r>
          </w:p>
        </w:tc>
        <w:tc>
          <w:tcPr>
            <w:tcW w:w="1505" w:type="dxa"/>
            <w:tcBorders>
              <w:top w:val="single" w:sz="4" w:space="0" w:color="auto"/>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874.631</w:t>
            </w:r>
          </w:p>
        </w:tc>
        <w:tc>
          <w:tcPr>
            <w:tcW w:w="1176" w:type="dxa"/>
            <w:tcBorders>
              <w:top w:val="single" w:sz="4" w:space="0" w:color="auto"/>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28</w:t>
            </w:r>
          </w:p>
        </w:tc>
        <w:tc>
          <w:tcPr>
            <w:tcW w:w="1213" w:type="dxa"/>
            <w:tcBorders>
              <w:top w:val="single" w:sz="4" w:space="0" w:color="auto"/>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0.000</w:t>
            </w:r>
          </w:p>
        </w:tc>
        <w:tc>
          <w:tcPr>
            <w:tcW w:w="1523" w:type="dxa"/>
            <w:tcBorders>
              <w:top w:val="single" w:sz="4" w:space="0" w:color="auto"/>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0.024</w:t>
            </w:r>
          </w:p>
        </w:tc>
      </w:tr>
      <w:tr w:rsidR="00C13236" w:rsidRPr="0067794B" w:rsidTr="000439C1">
        <w:tc>
          <w:tcPr>
            <w:tcW w:w="2638" w:type="dxa"/>
            <w:tcBorders>
              <w:top w:val="nil"/>
              <w:left w:val="nil"/>
              <w:bottom w:val="nil"/>
              <w:right w:val="nil"/>
            </w:tcBorders>
          </w:tcPr>
          <w:p w:rsidR="00C13236" w:rsidRPr="0067794B" w:rsidRDefault="00C13236" w:rsidP="000439C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Citizen participation</w:t>
            </w:r>
          </w:p>
        </w:tc>
        <w:tc>
          <w:tcPr>
            <w:tcW w:w="971"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0.8559</w:t>
            </w:r>
          </w:p>
        </w:tc>
        <w:tc>
          <w:tcPr>
            <w:tcW w:w="1505"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679.040</w:t>
            </w:r>
          </w:p>
        </w:tc>
        <w:tc>
          <w:tcPr>
            <w:tcW w:w="1176"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28</w:t>
            </w:r>
          </w:p>
        </w:tc>
        <w:tc>
          <w:tcPr>
            <w:tcW w:w="1213"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0.000</w:t>
            </w:r>
          </w:p>
        </w:tc>
        <w:tc>
          <w:tcPr>
            <w:tcW w:w="1523"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0.055</w:t>
            </w:r>
          </w:p>
        </w:tc>
      </w:tr>
      <w:tr w:rsidR="00C13236" w:rsidRPr="0067794B" w:rsidTr="000439C1">
        <w:tc>
          <w:tcPr>
            <w:tcW w:w="2638" w:type="dxa"/>
            <w:tcBorders>
              <w:top w:val="nil"/>
              <w:left w:val="nil"/>
              <w:bottom w:val="nil"/>
              <w:right w:val="nil"/>
            </w:tcBorders>
          </w:tcPr>
          <w:p w:rsidR="00C13236" w:rsidRPr="0067794B" w:rsidRDefault="00C13236" w:rsidP="000439C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financing</w:t>
            </w:r>
          </w:p>
        </w:tc>
        <w:tc>
          <w:tcPr>
            <w:tcW w:w="971"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0.7896</w:t>
            </w:r>
          </w:p>
        </w:tc>
        <w:tc>
          <w:tcPr>
            <w:tcW w:w="1505"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416.633</w:t>
            </w:r>
          </w:p>
        </w:tc>
        <w:tc>
          <w:tcPr>
            <w:tcW w:w="1176"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28</w:t>
            </w:r>
          </w:p>
        </w:tc>
        <w:tc>
          <w:tcPr>
            <w:tcW w:w="1213"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0.000</w:t>
            </w:r>
          </w:p>
        </w:tc>
        <w:tc>
          <w:tcPr>
            <w:tcW w:w="1523"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0.168</w:t>
            </w:r>
          </w:p>
        </w:tc>
      </w:tr>
      <w:tr w:rsidR="00C13236" w:rsidRPr="0067794B" w:rsidTr="000439C1">
        <w:tc>
          <w:tcPr>
            <w:tcW w:w="2638" w:type="dxa"/>
            <w:tcBorders>
              <w:top w:val="nil"/>
              <w:left w:val="nil"/>
              <w:bottom w:val="nil"/>
              <w:right w:val="nil"/>
            </w:tcBorders>
          </w:tcPr>
          <w:p w:rsidR="00C13236" w:rsidRPr="0067794B" w:rsidRDefault="00C13236" w:rsidP="000439C1">
            <w:pPr>
              <w:spacing w:line="240" w:lineRule="auto"/>
              <w:jc w:val="both"/>
              <w:rPr>
                <w:rFonts w:ascii="Times New Roman" w:hAnsi="Times New Roman" w:cs="Times New Roman"/>
                <w:sz w:val="24"/>
                <w:szCs w:val="24"/>
              </w:rPr>
            </w:pPr>
            <w:r>
              <w:rPr>
                <w:rFonts w:ascii="Times New Roman" w:hAnsi="Times New Roman" w:cs="Times New Roman"/>
                <w:sz w:val="24"/>
                <w:szCs w:val="24"/>
              </w:rPr>
              <w:t>Technical capacity</w:t>
            </w:r>
            <w:r w:rsidRPr="0067794B">
              <w:rPr>
                <w:rFonts w:ascii="Times New Roman" w:hAnsi="Times New Roman" w:cs="Times New Roman"/>
                <w:sz w:val="24"/>
                <w:szCs w:val="24"/>
              </w:rPr>
              <w:t xml:space="preserve"> </w:t>
            </w:r>
          </w:p>
        </w:tc>
        <w:tc>
          <w:tcPr>
            <w:tcW w:w="971"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0.8425</w:t>
            </w:r>
          </w:p>
        </w:tc>
        <w:tc>
          <w:tcPr>
            <w:tcW w:w="1505"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1106.496</w:t>
            </w:r>
          </w:p>
        </w:tc>
        <w:tc>
          <w:tcPr>
            <w:tcW w:w="1176"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28</w:t>
            </w:r>
          </w:p>
        </w:tc>
        <w:tc>
          <w:tcPr>
            <w:tcW w:w="1213"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0.000</w:t>
            </w:r>
          </w:p>
        </w:tc>
        <w:tc>
          <w:tcPr>
            <w:tcW w:w="1523" w:type="dxa"/>
            <w:tcBorders>
              <w:top w:val="nil"/>
              <w:left w:val="nil"/>
              <w:bottom w:val="nil"/>
              <w:right w:val="nil"/>
            </w:tcBorders>
            <w:hideMark/>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0.009</w:t>
            </w:r>
          </w:p>
        </w:tc>
      </w:tr>
      <w:tr w:rsidR="00C13236" w:rsidRPr="0067794B" w:rsidTr="000439C1">
        <w:tc>
          <w:tcPr>
            <w:tcW w:w="2638" w:type="dxa"/>
            <w:tcBorders>
              <w:top w:val="nil"/>
              <w:left w:val="nil"/>
              <w:bottom w:val="nil"/>
              <w:right w:val="nil"/>
            </w:tcBorders>
          </w:tcPr>
          <w:p w:rsidR="00C13236" w:rsidRPr="0067794B" w:rsidRDefault="00C13236" w:rsidP="000439C1">
            <w:pPr>
              <w:spacing w:line="240" w:lineRule="auto"/>
              <w:jc w:val="both"/>
              <w:rPr>
                <w:rFonts w:ascii="Times New Roman" w:hAnsi="Times New Roman" w:cs="Times New Roman"/>
                <w:sz w:val="24"/>
                <w:szCs w:val="24"/>
              </w:rPr>
            </w:pPr>
            <w:r>
              <w:rPr>
                <w:rFonts w:ascii="Times New Roman" w:hAnsi="Times New Roman" w:cs="Times New Roman"/>
                <w:sz w:val="24"/>
                <w:szCs w:val="24"/>
              </w:rPr>
              <w:t>Project design variation</w:t>
            </w:r>
          </w:p>
        </w:tc>
        <w:tc>
          <w:tcPr>
            <w:tcW w:w="971" w:type="dxa"/>
            <w:tcBorders>
              <w:top w:val="nil"/>
              <w:left w:val="nil"/>
              <w:bottom w:val="nil"/>
              <w:right w:val="nil"/>
            </w:tcBorders>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0.6999</w:t>
            </w:r>
          </w:p>
        </w:tc>
        <w:tc>
          <w:tcPr>
            <w:tcW w:w="1505" w:type="dxa"/>
            <w:tcBorders>
              <w:top w:val="nil"/>
              <w:left w:val="nil"/>
              <w:bottom w:val="nil"/>
              <w:right w:val="nil"/>
            </w:tcBorders>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1112.54</w:t>
            </w:r>
          </w:p>
        </w:tc>
        <w:tc>
          <w:tcPr>
            <w:tcW w:w="1176" w:type="dxa"/>
            <w:tcBorders>
              <w:top w:val="nil"/>
              <w:left w:val="nil"/>
              <w:bottom w:val="nil"/>
              <w:right w:val="nil"/>
            </w:tcBorders>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28</w:t>
            </w:r>
          </w:p>
        </w:tc>
        <w:tc>
          <w:tcPr>
            <w:tcW w:w="1213" w:type="dxa"/>
            <w:tcBorders>
              <w:top w:val="nil"/>
              <w:left w:val="nil"/>
              <w:bottom w:val="nil"/>
              <w:right w:val="nil"/>
            </w:tcBorders>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0.001</w:t>
            </w:r>
          </w:p>
        </w:tc>
        <w:tc>
          <w:tcPr>
            <w:tcW w:w="1523" w:type="dxa"/>
            <w:tcBorders>
              <w:top w:val="nil"/>
              <w:left w:val="nil"/>
              <w:bottom w:val="nil"/>
              <w:right w:val="nil"/>
            </w:tcBorders>
          </w:tcPr>
          <w:p w:rsidR="00C13236" w:rsidRPr="0067794B" w:rsidRDefault="00C13236" w:rsidP="000439C1">
            <w:pPr>
              <w:autoSpaceDE w:val="0"/>
              <w:autoSpaceDN w:val="0"/>
              <w:adjustRightInd w:val="0"/>
              <w:spacing w:after="0" w:line="360" w:lineRule="auto"/>
              <w:rPr>
                <w:rFonts w:ascii="Times New Roman" w:hAnsi="Times New Roman" w:cs="Times New Roman"/>
                <w:sz w:val="24"/>
                <w:szCs w:val="24"/>
              </w:rPr>
            </w:pPr>
            <w:r w:rsidRPr="0067794B">
              <w:rPr>
                <w:rFonts w:ascii="Times New Roman" w:hAnsi="Times New Roman" w:cs="Times New Roman"/>
                <w:sz w:val="24"/>
                <w:szCs w:val="24"/>
              </w:rPr>
              <w:t>0.101</w:t>
            </w:r>
          </w:p>
        </w:tc>
      </w:tr>
    </w:tbl>
    <w:p w:rsidR="00C13236" w:rsidRPr="0067794B" w:rsidRDefault="00C13236" w:rsidP="00C13236">
      <w:pPr>
        <w:spacing w:line="360" w:lineRule="auto"/>
        <w:rPr>
          <w:rFonts w:ascii="Times New Roman" w:hAnsi="Times New Roman" w:cs="Times New Roman"/>
          <w:sz w:val="24"/>
          <w:szCs w:val="24"/>
        </w:rPr>
      </w:pPr>
    </w:p>
    <w:p w:rsidR="00C13236" w:rsidRPr="0067794B"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The findings in table 4.</w:t>
      </w:r>
      <w:r>
        <w:rPr>
          <w:rFonts w:ascii="Times New Roman" w:hAnsi="Times New Roman" w:cs="Times New Roman"/>
          <w:sz w:val="24"/>
          <w:szCs w:val="24"/>
        </w:rPr>
        <w:t>7</w:t>
      </w:r>
      <w:r w:rsidRPr="0067794B">
        <w:rPr>
          <w:rFonts w:ascii="Times New Roman" w:hAnsi="Times New Roman" w:cs="Times New Roman"/>
          <w:sz w:val="24"/>
          <w:szCs w:val="24"/>
        </w:rPr>
        <w:t xml:space="preserve"> indicate that the scales had values above the threshold of 0.5 as determined by Williams, </w:t>
      </w:r>
      <w:r w:rsidRPr="0067794B">
        <w:rPr>
          <w:rFonts w:ascii="Times New Roman" w:hAnsi="Times New Roman" w:cs="Times New Roman"/>
          <w:i/>
          <w:sz w:val="24"/>
          <w:szCs w:val="24"/>
        </w:rPr>
        <w:t>et al.,</w:t>
      </w:r>
      <w:r w:rsidRPr="0067794B">
        <w:rPr>
          <w:rFonts w:ascii="Times New Roman" w:hAnsi="Times New Roman" w:cs="Times New Roman"/>
          <w:sz w:val="24"/>
          <w:szCs w:val="24"/>
        </w:rPr>
        <w:t xml:space="preserve"> (2012) where; </w:t>
      </w:r>
      <w:r>
        <w:rPr>
          <w:rFonts w:ascii="Times New Roman" w:hAnsi="Times New Roman" w:cs="Times New Roman"/>
          <w:sz w:val="24"/>
          <w:szCs w:val="24"/>
        </w:rPr>
        <w:t>Delay in project completion</w:t>
      </w:r>
      <w:r w:rsidRPr="0067794B">
        <w:rPr>
          <w:rFonts w:ascii="Times New Roman" w:hAnsi="Times New Roman" w:cs="Times New Roman"/>
          <w:sz w:val="24"/>
          <w:szCs w:val="24"/>
        </w:rPr>
        <w:t xml:space="preserve"> (0.8862), </w:t>
      </w:r>
      <w:r>
        <w:rPr>
          <w:rFonts w:ascii="Times New Roman" w:eastAsia="Times New Roman" w:hAnsi="Times New Roman" w:cs="Times New Roman"/>
          <w:sz w:val="24"/>
          <w:szCs w:val="24"/>
        </w:rPr>
        <w:t>Citizen Participation</w:t>
      </w:r>
      <w:r w:rsidRPr="0067794B">
        <w:rPr>
          <w:rFonts w:ascii="Times New Roman" w:hAnsi="Times New Roman" w:cs="Times New Roman"/>
          <w:sz w:val="24"/>
          <w:szCs w:val="24"/>
        </w:rPr>
        <w:t xml:space="preserve"> (0.8559), </w:t>
      </w:r>
      <w:r>
        <w:rPr>
          <w:rFonts w:ascii="Times New Roman" w:eastAsia="Times New Roman" w:hAnsi="Times New Roman" w:cs="Times New Roman"/>
          <w:sz w:val="24"/>
          <w:szCs w:val="24"/>
        </w:rPr>
        <w:t>Project financing</w:t>
      </w:r>
      <w:r w:rsidRPr="0067794B">
        <w:rPr>
          <w:rFonts w:ascii="Times New Roman" w:hAnsi="Times New Roman" w:cs="Times New Roman"/>
          <w:sz w:val="24"/>
          <w:szCs w:val="24"/>
        </w:rPr>
        <w:t xml:space="preserve"> (0.7896), </w:t>
      </w:r>
      <w:r>
        <w:rPr>
          <w:rFonts w:ascii="Times New Roman" w:hAnsi="Times New Roman" w:cs="Times New Roman"/>
          <w:sz w:val="24"/>
          <w:szCs w:val="24"/>
        </w:rPr>
        <w:t>Technical capacity</w:t>
      </w:r>
      <w:r w:rsidRPr="0067794B">
        <w:rPr>
          <w:rFonts w:ascii="Times New Roman" w:hAnsi="Times New Roman" w:cs="Times New Roman"/>
          <w:sz w:val="24"/>
          <w:szCs w:val="24"/>
        </w:rPr>
        <w:t xml:space="preserve"> </w:t>
      </w:r>
      <w:r>
        <w:rPr>
          <w:rFonts w:ascii="Times New Roman" w:hAnsi="Times New Roman" w:cs="Times New Roman"/>
          <w:sz w:val="24"/>
          <w:szCs w:val="24"/>
        </w:rPr>
        <w:t>(</w:t>
      </w:r>
      <w:r w:rsidRPr="0067794B">
        <w:rPr>
          <w:rFonts w:ascii="Times New Roman" w:hAnsi="Times New Roman" w:cs="Times New Roman"/>
          <w:sz w:val="24"/>
          <w:szCs w:val="24"/>
        </w:rPr>
        <w:t>0.8425</w:t>
      </w:r>
      <w:r>
        <w:rPr>
          <w:rFonts w:ascii="Times New Roman" w:hAnsi="Times New Roman" w:cs="Times New Roman"/>
          <w:sz w:val="24"/>
          <w:szCs w:val="24"/>
        </w:rPr>
        <w:t xml:space="preserve">) </w:t>
      </w:r>
      <w:r w:rsidRPr="0067794B">
        <w:rPr>
          <w:rFonts w:ascii="Times New Roman" w:hAnsi="Times New Roman" w:cs="Times New Roman"/>
          <w:sz w:val="24"/>
          <w:szCs w:val="24"/>
        </w:rPr>
        <w:t xml:space="preserve">and </w:t>
      </w:r>
      <w:r>
        <w:rPr>
          <w:rFonts w:ascii="Times New Roman" w:hAnsi="Times New Roman" w:cs="Times New Roman"/>
          <w:sz w:val="24"/>
          <w:szCs w:val="24"/>
        </w:rPr>
        <w:t>Project design variation</w:t>
      </w:r>
      <w:r w:rsidRPr="0067794B">
        <w:rPr>
          <w:rFonts w:ascii="Times New Roman" w:hAnsi="Times New Roman" w:cs="Times New Roman"/>
          <w:sz w:val="24"/>
          <w:szCs w:val="24"/>
        </w:rPr>
        <w:t xml:space="preserve"> (0.6999)</w:t>
      </w:r>
      <w:r>
        <w:rPr>
          <w:rFonts w:ascii="Times New Roman" w:hAnsi="Times New Roman" w:cs="Times New Roman"/>
          <w:sz w:val="24"/>
          <w:szCs w:val="24"/>
        </w:rPr>
        <w:t xml:space="preserve">. </w:t>
      </w:r>
      <w:r w:rsidRPr="0067794B">
        <w:rPr>
          <w:rFonts w:ascii="Times New Roman" w:hAnsi="Times New Roman" w:cs="Times New Roman"/>
          <w:sz w:val="24"/>
          <w:szCs w:val="24"/>
        </w:rPr>
        <w:t xml:space="preserve">According to Williams, </w:t>
      </w:r>
      <w:r w:rsidRPr="0067794B">
        <w:rPr>
          <w:rFonts w:ascii="Times New Roman" w:hAnsi="Times New Roman" w:cs="Times New Roman"/>
          <w:i/>
          <w:sz w:val="24"/>
          <w:szCs w:val="24"/>
        </w:rPr>
        <w:t>et al.,</w:t>
      </w:r>
      <w:r w:rsidRPr="0067794B">
        <w:rPr>
          <w:rFonts w:ascii="Times New Roman" w:hAnsi="Times New Roman" w:cs="Times New Roman"/>
          <w:sz w:val="24"/>
          <w:szCs w:val="24"/>
        </w:rPr>
        <w:t xml:space="preserve"> (2012) 0.50 is acceptable degree in KMO for sampling adequacy with values above 0.5 being better. </w:t>
      </w:r>
      <w:proofErr w:type="spellStart"/>
      <w:r w:rsidRPr="0067794B">
        <w:rPr>
          <w:rFonts w:ascii="Times New Roman" w:hAnsi="Times New Roman" w:cs="Times New Roman"/>
          <w:sz w:val="24"/>
          <w:szCs w:val="24"/>
        </w:rPr>
        <w:t>Analysing</w:t>
      </w:r>
      <w:proofErr w:type="spellEnd"/>
      <w:r w:rsidRPr="0067794B">
        <w:rPr>
          <w:rFonts w:ascii="Times New Roman" w:hAnsi="Times New Roman" w:cs="Times New Roman"/>
          <w:sz w:val="24"/>
          <w:szCs w:val="24"/>
        </w:rPr>
        <w:t xml:space="preserve"> whether samples are from populations had equal variances, Bartlett's Test of </w:t>
      </w:r>
      <w:proofErr w:type="spellStart"/>
      <w:r w:rsidRPr="0067794B">
        <w:rPr>
          <w:rFonts w:ascii="Times New Roman" w:hAnsi="Times New Roman" w:cs="Times New Roman"/>
          <w:sz w:val="24"/>
          <w:szCs w:val="24"/>
        </w:rPr>
        <w:t>Sphericity</w:t>
      </w:r>
      <w:proofErr w:type="spellEnd"/>
      <w:r w:rsidRPr="0067794B">
        <w:rPr>
          <w:rFonts w:ascii="Times New Roman" w:hAnsi="Times New Roman" w:cs="Times New Roman"/>
          <w:sz w:val="24"/>
          <w:szCs w:val="24"/>
        </w:rPr>
        <w:t xml:space="preserve"> provided p-values less than 0.05 hence showing a degree of sampling adequacy that was acceptable. </w:t>
      </w:r>
    </w:p>
    <w:p w:rsidR="00C13236" w:rsidRPr="0067794B" w:rsidRDefault="00C13236" w:rsidP="00C13236">
      <w:pPr>
        <w:pStyle w:val="Heading2"/>
        <w:jc w:val="both"/>
        <w:rPr>
          <w:rFonts w:eastAsia="MS Gothic" w:cs="Times New Roman"/>
          <w:szCs w:val="24"/>
        </w:rPr>
      </w:pPr>
      <w:r w:rsidRPr="0067794B">
        <w:rPr>
          <w:rFonts w:eastAsia="MS Gothic" w:cs="Times New Roman"/>
          <w:szCs w:val="24"/>
        </w:rPr>
        <w:t xml:space="preserve">4.6 Descriptive Statistics </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Descriptive analysis included an assessment of </w:t>
      </w:r>
      <w:r w:rsidRPr="009B6A0E">
        <w:rPr>
          <w:rFonts w:ascii="Times New Roman" w:hAnsi="Times New Roman" w:cs="Times New Roman"/>
          <w:sz w:val="24"/>
          <w:szCs w:val="24"/>
        </w:rPr>
        <w:t>the 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 xml:space="preserve">infrastructure projects in </w:t>
      </w:r>
      <w:proofErr w:type="spellStart"/>
      <w:r w:rsidRPr="009B6A0E">
        <w:rPr>
          <w:rFonts w:ascii="Times New Roman" w:hAnsi="Times New Roman" w:cs="Times New Roman"/>
          <w:sz w:val="24"/>
          <w:szCs w:val="24"/>
        </w:rPr>
        <w:t>Bomet</w:t>
      </w:r>
      <w:proofErr w:type="spellEnd"/>
      <w:r w:rsidRPr="009B6A0E">
        <w:rPr>
          <w:rFonts w:ascii="Times New Roman" w:hAnsi="Times New Roman" w:cs="Times New Roman"/>
          <w:sz w:val="24"/>
          <w:szCs w:val="24"/>
        </w:rPr>
        <w:t xml:space="preserve"> County</w:t>
      </w:r>
      <w:r w:rsidRPr="00E46F36">
        <w:rPr>
          <w:rFonts w:ascii="Times New Roman" w:hAnsi="Times New Roman" w:cs="Times New Roman"/>
          <w:sz w:val="24"/>
          <w:szCs w:val="24"/>
        </w:rPr>
        <w:t>, Kenya</w:t>
      </w:r>
      <w:r>
        <w:rPr>
          <w:rFonts w:ascii="Times New Roman" w:hAnsi="Times New Roman" w:cs="Times New Roman"/>
          <w:sz w:val="24"/>
          <w:szCs w:val="24"/>
        </w:rPr>
        <w:t>. The d</w:t>
      </w:r>
      <w:r w:rsidRPr="0067794B">
        <w:rPr>
          <w:rFonts w:ascii="Times New Roman" w:hAnsi="Times New Roman" w:cs="Times New Roman"/>
          <w:sz w:val="24"/>
          <w:szCs w:val="24"/>
        </w:rPr>
        <w:t>escriptive measures</w:t>
      </w:r>
      <w:r>
        <w:rPr>
          <w:rFonts w:ascii="Times New Roman" w:hAnsi="Times New Roman" w:cs="Times New Roman"/>
          <w:sz w:val="24"/>
          <w:szCs w:val="24"/>
        </w:rPr>
        <w:t>,</w:t>
      </w:r>
      <w:r w:rsidRPr="0067794B">
        <w:rPr>
          <w:rFonts w:ascii="Times New Roman" w:hAnsi="Times New Roman" w:cs="Times New Roman"/>
          <w:sz w:val="24"/>
          <w:szCs w:val="24"/>
        </w:rPr>
        <w:t xml:space="preserve"> that is measures of central tendency as stated earlier are adopted; Mean measures the highly typical value in a set of values. The standard deviation shows how far from the mean the distribution is. The presentation in this section is based on the objectives of the study.</w:t>
      </w:r>
    </w:p>
    <w:p w:rsidR="00C13236" w:rsidRPr="001B43BC" w:rsidRDefault="00C13236" w:rsidP="00C13236">
      <w:pPr>
        <w:pStyle w:val="Heading3"/>
        <w:rPr>
          <w:rFonts w:cs="Times New Roman"/>
        </w:rPr>
      </w:pPr>
      <w:r w:rsidRPr="0067794B">
        <w:rPr>
          <w:rFonts w:cs="Times New Roman"/>
        </w:rPr>
        <w:lastRenderedPageBreak/>
        <w:t xml:space="preserve">4.6.1 </w:t>
      </w:r>
      <w:r>
        <w:rPr>
          <w:rFonts w:eastAsia="Times New Roman" w:cs="Times New Roman"/>
        </w:rPr>
        <w:t>Citizen participation</w:t>
      </w:r>
    </w:p>
    <w:p w:rsidR="00C13236" w:rsidRPr="0067794B" w:rsidRDefault="00C13236" w:rsidP="00C13236">
      <w:pPr>
        <w:spacing w:after="120" w:line="360" w:lineRule="auto"/>
        <w:jc w:val="both"/>
        <w:rPr>
          <w:rFonts w:ascii="Times New Roman" w:hAnsi="Times New Roman" w:cs="Times New Roman"/>
          <w:sz w:val="24"/>
          <w:szCs w:val="24"/>
        </w:rPr>
      </w:pPr>
      <w:bookmarkStart w:id="87" w:name="_Toc523133085"/>
      <w:r w:rsidRPr="0067794B">
        <w:rPr>
          <w:rFonts w:ascii="Times New Roman" w:hAnsi="Times New Roman" w:cs="Times New Roman"/>
          <w:sz w:val="24"/>
          <w:szCs w:val="24"/>
        </w:rPr>
        <w:t xml:space="preserve">The study sought to establish how the </w:t>
      </w:r>
      <w:r>
        <w:rPr>
          <w:rFonts w:ascii="Times New Roman" w:eastAsia="Times New Roman" w:hAnsi="Times New Roman" w:cs="Times New Roman"/>
          <w:sz w:val="24"/>
          <w:szCs w:val="24"/>
        </w:rPr>
        <w:t>citizen participation</w:t>
      </w:r>
      <w:r w:rsidRPr="0067794B">
        <w:rPr>
          <w:rFonts w:ascii="Times New Roman" w:eastAsia="Times New Roman" w:hAnsi="Times New Roman" w:cs="Times New Roman"/>
          <w:sz w:val="24"/>
          <w:szCs w:val="24"/>
        </w:rPr>
        <w:t xml:space="preserve"> on </w:t>
      </w:r>
      <w:r w:rsidRPr="009B6A0E">
        <w:rPr>
          <w:rFonts w:ascii="Times New Roman" w:hAnsi="Times New Roman" w:cs="Times New Roman"/>
          <w:sz w:val="24"/>
          <w:szCs w:val="24"/>
        </w:rPr>
        <w:t>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sidRPr="0067794B">
        <w:rPr>
          <w:rFonts w:ascii="Times New Roman" w:hAnsi="Times New Roman" w:cs="Times New Roman"/>
          <w:sz w:val="24"/>
          <w:szCs w:val="24"/>
        </w:rPr>
        <w:t xml:space="preserve">. The responses were rated on a </w:t>
      </w:r>
      <w:proofErr w:type="spellStart"/>
      <w:r w:rsidRPr="0067794B">
        <w:rPr>
          <w:rFonts w:ascii="Times New Roman" w:hAnsi="Times New Roman" w:cs="Times New Roman"/>
          <w:sz w:val="24"/>
          <w:szCs w:val="24"/>
        </w:rPr>
        <w:t>Likert</w:t>
      </w:r>
      <w:proofErr w:type="spellEnd"/>
      <w:r w:rsidRPr="0067794B">
        <w:rPr>
          <w:rFonts w:ascii="Times New Roman" w:hAnsi="Times New Roman" w:cs="Times New Roman"/>
          <w:sz w:val="24"/>
          <w:szCs w:val="24"/>
        </w:rPr>
        <w:t xml:space="preserve"> scale and the result</w:t>
      </w:r>
      <w:r>
        <w:rPr>
          <w:rFonts w:ascii="Times New Roman" w:hAnsi="Times New Roman" w:cs="Times New Roman"/>
          <w:sz w:val="24"/>
          <w:szCs w:val="24"/>
        </w:rPr>
        <w:t>s are as presented in table 4.8</w:t>
      </w:r>
      <w:r w:rsidRPr="0067794B">
        <w:rPr>
          <w:rFonts w:ascii="Times New Roman" w:hAnsi="Times New Roman" w:cs="Times New Roman"/>
          <w:sz w:val="24"/>
          <w:szCs w:val="24"/>
        </w:rPr>
        <w:t xml:space="preserve">. The study results on </w:t>
      </w:r>
      <w:r>
        <w:rPr>
          <w:rFonts w:ascii="Times New Roman" w:hAnsi="Times New Roman" w:cs="Times New Roman"/>
          <w:sz w:val="24"/>
          <w:szCs w:val="24"/>
        </w:rPr>
        <w:t>m</w:t>
      </w:r>
      <w:r w:rsidRPr="009B6A0E">
        <w:rPr>
          <w:rFonts w:ascii="Times New Roman" w:hAnsi="Times New Roman" w:cs="Times New Roman"/>
          <w:sz w:val="24"/>
          <w:szCs w:val="24"/>
        </w:rPr>
        <w:t>anageme</w:t>
      </w:r>
      <w:r>
        <w:rPr>
          <w:rFonts w:ascii="Times New Roman" w:hAnsi="Times New Roman" w:cs="Times New Roman"/>
          <w:sz w:val="24"/>
          <w:szCs w:val="24"/>
        </w:rPr>
        <w:t>nt of infrastructural projects a</w:t>
      </w:r>
      <w:r w:rsidRPr="009B6A0E">
        <w:rPr>
          <w:rFonts w:ascii="Times New Roman" w:hAnsi="Times New Roman" w:cs="Times New Roman"/>
          <w:sz w:val="24"/>
          <w:szCs w:val="24"/>
        </w:rPr>
        <w:t>s a collect</w:t>
      </w:r>
      <w:r>
        <w:rPr>
          <w:rFonts w:ascii="Times New Roman" w:hAnsi="Times New Roman" w:cs="Times New Roman"/>
          <w:sz w:val="24"/>
          <w:szCs w:val="24"/>
        </w:rPr>
        <w:t>ive responsibility that involved</w:t>
      </w:r>
      <w:r w:rsidRPr="009B6A0E">
        <w:rPr>
          <w:rFonts w:ascii="Times New Roman" w:hAnsi="Times New Roman" w:cs="Times New Roman"/>
          <w:sz w:val="24"/>
          <w:szCs w:val="24"/>
        </w:rPr>
        <w:t xml:space="preserve"> all stakeholders</w:t>
      </w:r>
      <w:r>
        <w:rPr>
          <w:rFonts w:ascii="Times New Roman" w:hAnsi="Times New Roman" w:cs="Times New Roman"/>
          <w:sz w:val="24"/>
          <w:szCs w:val="24"/>
        </w:rPr>
        <w:t>,</w:t>
      </w:r>
      <w:r w:rsidRPr="0067794B">
        <w:rPr>
          <w:rFonts w:ascii="Times New Roman" w:hAnsi="Times New Roman" w:cs="Times New Roman"/>
          <w:sz w:val="24"/>
          <w:szCs w:val="24"/>
        </w:rPr>
        <w:t xml:space="preserve"> resulted to approximately</w:t>
      </w:r>
      <w:r w:rsidRPr="00C07A73">
        <w:rPr>
          <w:rFonts w:ascii="Times New Roman" w:hAnsi="Times New Roman" w:cs="Times New Roman"/>
          <w:sz w:val="24"/>
          <w:szCs w:val="24"/>
        </w:rPr>
        <w:t xml:space="preserve"> </w:t>
      </w:r>
      <w:r w:rsidRPr="0067794B">
        <w:rPr>
          <w:rFonts w:ascii="Times New Roman" w:hAnsi="Times New Roman" w:cs="Times New Roman"/>
          <w:sz w:val="24"/>
          <w:szCs w:val="24"/>
        </w:rPr>
        <w:t>58% of the respondent agreeing with this statement whereas 16% strongly agreeing with the same. Only 15% disagreed with that fact. The mean of 3.69 implies that most of the re</w:t>
      </w:r>
      <w:r>
        <w:rPr>
          <w:rFonts w:ascii="Times New Roman" w:hAnsi="Times New Roman" w:cs="Times New Roman"/>
          <w:sz w:val="24"/>
          <w:szCs w:val="24"/>
        </w:rPr>
        <w:t>spondents just agreed with this</w:t>
      </w:r>
      <w:r w:rsidRPr="0067794B">
        <w:rPr>
          <w:rFonts w:ascii="Times New Roman" w:hAnsi="Times New Roman" w:cs="Times New Roman"/>
          <w:sz w:val="24"/>
          <w:szCs w:val="24"/>
        </w:rPr>
        <w:t xml:space="preserve"> statement. Also the standard deviation of 1.02 showed that there was some variation.</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On the othe</w:t>
      </w:r>
      <w:r>
        <w:rPr>
          <w:rFonts w:ascii="Times New Roman" w:hAnsi="Times New Roman" w:cs="Times New Roman"/>
          <w:sz w:val="24"/>
          <w:szCs w:val="24"/>
        </w:rPr>
        <w:t>r hand, approximately 41% and 32</w:t>
      </w:r>
      <w:r w:rsidRPr="0067794B">
        <w:rPr>
          <w:rFonts w:ascii="Times New Roman" w:hAnsi="Times New Roman" w:cs="Times New Roman"/>
          <w:sz w:val="24"/>
          <w:szCs w:val="24"/>
        </w:rPr>
        <w:t xml:space="preserve">%, of the respondents just agreed and strongly agreed with the fact that </w:t>
      </w:r>
      <w:r w:rsidRPr="00C07A73">
        <w:rPr>
          <w:rFonts w:ascii="Times New Roman" w:hAnsi="Times New Roman" w:cs="Times New Roman"/>
          <w:sz w:val="24"/>
          <w:szCs w:val="24"/>
        </w:rPr>
        <w:t xml:space="preserve">the </w:t>
      </w:r>
      <w:r>
        <w:rPr>
          <w:rFonts w:ascii="Times New Roman" w:hAnsi="Times New Roman" w:cs="Times New Roman"/>
          <w:sz w:val="24"/>
          <w:szCs w:val="24"/>
        </w:rPr>
        <w:t>s</w:t>
      </w:r>
      <w:r w:rsidRPr="009B6A0E">
        <w:rPr>
          <w:rFonts w:ascii="Times New Roman" w:hAnsi="Times New Roman" w:cs="Times New Roman"/>
          <w:sz w:val="24"/>
          <w:szCs w:val="24"/>
        </w:rPr>
        <w:t>takeholder participation enhances better utilization of public resources as the people play an oversight role</w:t>
      </w:r>
      <w:r w:rsidRPr="0067794B">
        <w:rPr>
          <w:rFonts w:ascii="Times New Roman" w:hAnsi="Times New Roman" w:cs="Times New Roman"/>
          <w:sz w:val="24"/>
          <w:szCs w:val="24"/>
        </w:rPr>
        <w:t xml:space="preserve">. Only </w:t>
      </w:r>
      <w:r>
        <w:rPr>
          <w:rFonts w:ascii="Times New Roman" w:hAnsi="Times New Roman" w:cs="Times New Roman"/>
          <w:sz w:val="24"/>
          <w:szCs w:val="24"/>
        </w:rPr>
        <w:t>7</w:t>
      </w:r>
      <w:r w:rsidRPr="0067794B">
        <w:rPr>
          <w:rFonts w:ascii="Times New Roman" w:hAnsi="Times New Roman" w:cs="Times New Roman"/>
          <w:sz w:val="24"/>
          <w:szCs w:val="24"/>
        </w:rPr>
        <w:t>% disagreed with that statement. This made the mean for the statement to be 3.9 with a standard deviation 1.</w:t>
      </w:r>
      <w:r>
        <w:rPr>
          <w:rFonts w:ascii="Times New Roman" w:hAnsi="Times New Roman" w:cs="Times New Roman"/>
          <w:sz w:val="24"/>
          <w:szCs w:val="24"/>
        </w:rPr>
        <w:t>2</w:t>
      </w:r>
      <w:r w:rsidRPr="0067794B">
        <w:rPr>
          <w:rFonts w:ascii="Times New Roman" w:hAnsi="Times New Roman" w:cs="Times New Roman"/>
          <w:sz w:val="24"/>
          <w:szCs w:val="24"/>
        </w:rPr>
        <w:t xml:space="preserve"> indicating some variation in responses.</w:t>
      </w:r>
    </w:p>
    <w:p w:rsidR="00C13236" w:rsidRDefault="00C13236" w:rsidP="00C13236">
      <w:pPr>
        <w:spacing w:after="120" w:line="360" w:lineRule="auto"/>
        <w:jc w:val="both"/>
        <w:rPr>
          <w:rFonts w:ascii="Times New Roman" w:hAnsi="Times New Roman" w:cs="Times New Roman"/>
          <w:sz w:val="24"/>
          <w:szCs w:val="24"/>
        </w:rPr>
      </w:pPr>
      <w:r w:rsidRPr="00C07A73">
        <w:rPr>
          <w:rFonts w:ascii="Times New Roman" w:hAnsi="Times New Roman" w:cs="Times New Roman"/>
          <w:sz w:val="24"/>
          <w:szCs w:val="24"/>
        </w:rPr>
        <w:t>The study also e</w:t>
      </w:r>
      <w:r>
        <w:rPr>
          <w:rFonts w:ascii="Times New Roman" w:hAnsi="Times New Roman" w:cs="Times New Roman"/>
          <w:sz w:val="24"/>
          <w:szCs w:val="24"/>
        </w:rPr>
        <w:t>stablished that the majority, 77</w:t>
      </w:r>
      <w:r w:rsidRPr="00C07A73">
        <w:rPr>
          <w:rFonts w:ascii="Times New Roman" w:hAnsi="Times New Roman" w:cs="Times New Roman"/>
          <w:sz w:val="24"/>
          <w:szCs w:val="24"/>
        </w:rPr>
        <w:t>.</w:t>
      </w:r>
      <w:r>
        <w:rPr>
          <w:rFonts w:ascii="Times New Roman" w:hAnsi="Times New Roman" w:cs="Times New Roman"/>
          <w:sz w:val="24"/>
          <w:szCs w:val="24"/>
        </w:rPr>
        <w:t>3</w:t>
      </w:r>
      <w:r w:rsidRPr="00C07A73">
        <w:rPr>
          <w:rFonts w:ascii="Times New Roman" w:hAnsi="Times New Roman" w:cs="Times New Roman"/>
          <w:sz w:val="24"/>
          <w:szCs w:val="24"/>
        </w:rPr>
        <w:t xml:space="preserve">% of the respondents concurred that the </w:t>
      </w:r>
      <w:r w:rsidRPr="009B6A0E">
        <w:rPr>
          <w:rFonts w:ascii="Times New Roman" w:hAnsi="Times New Roman" w:cs="Times New Roman"/>
          <w:sz w:val="24"/>
          <w:szCs w:val="24"/>
        </w:rPr>
        <w:t>structures established for stakeholder participation enables effective implementation of infrastructural projects</w:t>
      </w:r>
      <w:r w:rsidRPr="00C07A73">
        <w:rPr>
          <w:rFonts w:ascii="Times New Roman" w:hAnsi="Times New Roman" w:cs="Times New Roman"/>
          <w:sz w:val="24"/>
          <w:szCs w:val="24"/>
        </w:rPr>
        <w:t xml:space="preserve">. Their mean was also 3.9 while the standard deviation was 1.2 indicating variation in responses. </w:t>
      </w:r>
    </w:p>
    <w:p w:rsidR="00C13236" w:rsidRDefault="00C13236" w:rsidP="00C13236">
      <w:pPr>
        <w:spacing w:after="0" w:line="240" w:lineRule="auto"/>
        <w:jc w:val="both"/>
        <w:rPr>
          <w:rFonts w:ascii="Times New Roman" w:hAnsi="Times New Roman" w:cs="Times New Roman"/>
          <w:sz w:val="24"/>
          <w:szCs w:val="24"/>
        </w:rPr>
      </w:pPr>
      <w:r w:rsidRPr="00C07A73">
        <w:rPr>
          <w:rFonts w:ascii="Times New Roman" w:hAnsi="Times New Roman" w:cs="Times New Roman"/>
          <w:sz w:val="24"/>
          <w:szCs w:val="24"/>
        </w:rPr>
        <w:t xml:space="preserve">Approximately 55% and 24%, of the respondents just agreed and strongly agreed with the fact that </w:t>
      </w:r>
      <w:r>
        <w:rPr>
          <w:rFonts w:ascii="Times New Roman" w:hAnsi="Times New Roman" w:cs="Times New Roman"/>
          <w:sz w:val="24"/>
          <w:szCs w:val="24"/>
        </w:rPr>
        <w:t>f</w:t>
      </w:r>
      <w:r w:rsidRPr="009B6A0E">
        <w:rPr>
          <w:rFonts w:ascii="Times New Roman" w:hAnsi="Times New Roman" w:cs="Times New Roman"/>
          <w:sz w:val="24"/>
          <w:szCs w:val="24"/>
        </w:rPr>
        <w:t>requent stakeholder investigation and reviewing the effects of the completed or ongoing projects to see whether the benefits which were planned to flow from the project have indeed been realized</w:t>
      </w:r>
      <w:r w:rsidRPr="00C07A73">
        <w:rPr>
          <w:rFonts w:ascii="Times New Roman" w:hAnsi="Times New Roman" w:cs="Times New Roman"/>
          <w:sz w:val="24"/>
          <w:szCs w:val="24"/>
        </w:rPr>
        <w:t>.</w:t>
      </w:r>
    </w:p>
    <w:p w:rsidR="00C13236" w:rsidRPr="0067794B" w:rsidRDefault="00C13236" w:rsidP="00C13236">
      <w:pPr>
        <w:spacing w:after="0" w:line="240" w:lineRule="auto"/>
        <w:jc w:val="both"/>
        <w:rPr>
          <w:rFonts w:ascii="Times New Roman" w:hAnsi="Times New Roman" w:cs="Times New Roman"/>
          <w:sz w:val="24"/>
          <w:szCs w:val="24"/>
        </w:rPr>
      </w:pPr>
      <w:r w:rsidRPr="00C07A73">
        <w:rPr>
          <w:rFonts w:ascii="Times New Roman" w:hAnsi="Times New Roman" w:cs="Times New Roman"/>
          <w:sz w:val="24"/>
          <w:szCs w:val="24"/>
        </w:rPr>
        <w:t xml:space="preserve"> Only 12.6% disagreed with that statement. This made the mean for</w:t>
      </w:r>
      <w:r w:rsidRPr="0067794B">
        <w:rPr>
          <w:rFonts w:ascii="Times New Roman" w:hAnsi="Times New Roman" w:cs="Times New Roman"/>
          <w:sz w:val="24"/>
          <w:szCs w:val="24"/>
        </w:rPr>
        <w:t xml:space="preserve"> the statement to be 3.9 with a standard deviation 0.96 indicating some variation in responses. Lastly, the majority of the respondents, 79%, supported the fact that </w:t>
      </w:r>
      <w:r>
        <w:rPr>
          <w:rFonts w:ascii="Times New Roman" w:hAnsi="Times New Roman" w:cs="Times New Roman"/>
          <w:sz w:val="24"/>
          <w:szCs w:val="24"/>
        </w:rPr>
        <w:t>s</w:t>
      </w:r>
      <w:r w:rsidRPr="009B6A0E">
        <w:rPr>
          <w:rFonts w:ascii="Times New Roman" w:hAnsi="Times New Roman" w:cs="Times New Roman"/>
          <w:sz w:val="24"/>
          <w:szCs w:val="24"/>
        </w:rPr>
        <w:t>takeholders hold frequent consultative meetings to deliberate on the progress of the project management</w:t>
      </w:r>
      <w:r w:rsidRPr="0067794B">
        <w:rPr>
          <w:rFonts w:ascii="Times New Roman" w:hAnsi="Times New Roman" w:cs="Times New Roman"/>
          <w:sz w:val="24"/>
          <w:szCs w:val="24"/>
        </w:rPr>
        <w:t>. The mean and the standard deviation for this statement were 4.1 while the standard deviation was 0.98. The overall mean for the observed factors was 3.9, indicating that majority of the respondents just agreed with the statements</w:t>
      </w:r>
      <w:r>
        <w:rPr>
          <w:rFonts w:ascii="Times New Roman" w:hAnsi="Times New Roman" w:cs="Times New Roman"/>
          <w:sz w:val="24"/>
          <w:szCs w:val="24"/>
        </w:rPr>
        <w:t>. The standard deviation was 1.05</w:t>
      </w:r>
      <w:r w:rsidRPr="0067794B">
        <w:rPr>
          <w:rFonts w:ascii="Times New Roman" w:hAnsi="Times New Roman" w:cs="Times New Roman"/>
          <w:sz w:val="24"/>
          <w:szCs w:val="24"/>
        </w:rPr>
        <w:t>, indicating that there was some variation in all of the responses.</w:t>
      </w:r>
    </w:p>
    <w:p w:rsidR="00C13236" w:rsidRPr="0067794B" w:rsidRDefault="00C13236" w:rsidP="00C13236">
      <w:pPr>
        <w:spacing w:after="120" w:line="360" w:lineRule="auto"/>
        <w:jc w:val="both"/>
        <w:rPr>
          <w:rFonts w:ascii="Times New Roman" w:hAnsi="Times New Roman" w:cs="Times New Roman"/>
          <w:b/>
          <w:bCs/>
          <w:spacing w:val="-3"/>
          <w:position w:val="-1"/>
          <w:sz w:val="24"/>
          <w:szCs w:val="24"/>
        </w:rPr>
      </w:pPr>
      <w:r w:rsidRPr="0067794B">
        <w:rPr>
          <w:rFonts w:ascii="Times New Roman" w:hAnsi="Times New Roman" w:cs="Times New Roman"/>
          <w:b/>
          <w:bCs/>
          <w:spacing w:val="-3"/>
          <w:position w:val="-1"/>
          <w:sz w:val="24"/>
          <w:szCs w:val="24"/>
        </w:rPr>
        <w:t>Table 4.</w:t>
      </w:r>
      <w:r w:rsidRPr="001B43BC">
        <w:rPr>
          <w:rFonts w:ascii="Times New Roman" w:hAnsi="Times New Roman" w:cs="Times New Roman"/>
          <w:b/>
          <w:bCs/>
          <w:spacing w:val="-3"/>
          <w:position w:val="-1"/>
          <w:sz w:val="24"/>
          <w:szCs w:val="24"/>
        </w:rPr>
        <w:t>8</w:t>
      </w:r>
      <w:r w:rsidRPr="0067794B">
        <w:rPr>
          <w:rFonts w:ascii="Times New Roman" w:hAnsi="Times New Roman" w:cs="Times New Roman"/>
          <w:b/>
          <w:bCs/>
          <w:spacing w:val="-3"/>
          <w:position w:val="-1"/>
          <w:sz w:val="24"/>
          <w:szCs w:val="24"/>
        </w:rPr>
        <w:t xml:space="preserve">: </w:t>
      </w:r>
      <w:bookmarkEnd w:id="87"/>
      <w:r w:rsidRPr="001B43BC">
        <w:rPr>
          <w:rFonts w:ascii="Times New Roman" w:hAnsi="Times New Roman" w:cs="Times New Roman"/>
          <w:b/>
          <w:bCs/>
          <w:spacing w:val="-3"/>
          <w:position w:val="-1"/>
          <w:sz w:val="24"/>
          <w:szCs w:val="24"/>
        </w:rPr>
        <w:t>Citizen Participation</w:t>
      </w:r>
    </w:p>
    <w:tbl>
      <w:tblPr>
        <w:tblW w:w="5025" w:type="pct"/>
        <w:tblBorders>
          <w:top w:val="single" w:sz="4" w:space="0" w:color="auto"/>
          <w:bottom w:val="single" w:sz="4" w:space="0" w:color="auto"/>
        </w:tblBorders>
        <w:tblLayout w:type="fixed"/>
        <w:tblLook w:val="04A0" w:firstRow="1" w:lastRow="0" w:firstColumn="1" w:lastColumn="0" w:noHBand="0" w:noVBand="1"/>
      </w:tblPr>
      <w:tblGrid>
        <w:gridCol w:w="3532"/>
        <w:gridCol w:w="882"/>
        <w:gridCol w:w="704"/>
        <w:gridCol w:w="791"/>
        <w:gridCol w:w="174"/>
        <w:gridCol w:w="791"/>
        <w:gridCol w:w="704"/>
        <w:gridCol w:w="702"/>
        <w:gridCol w:w="791"/>
      </w:tblGrid>
      <w:tr w:rsidR="00C13236" w:rsidRPr="0067794B" w:rsidTr="000439C1">
        <w:trPr>
          <w:trHeight w:val="259"/>
        </w:trPr>
        <w:tc>
          <w:tcPr>
            <w:tcW w:w="1947" w:type="pct"/>
            <w:tcBorders>
              <w:top w:val="single" w:sz="4" w:space="0" w:color="auto"/>
              <w:left w:val="nil"/>
              <w:bottom w:val="nil"/>
              <w:right w:val="nil"/>
            </w:tcBorders>
            <w:noWrap/>
          </w:tcPr>
          <w:p w:rsidR="00C13236" w:rsidRPr="0067794B" w:rsidRDefault="00C13236" w:rsidP="000439C1">
            <w:pPr>
              <w:spacing w:after="0" w:line="240" w:lineRule="auto"/>
              <w:jc w:val="both"/>
              <w:rPr>
                <w:rFonts w:ascii="Times New Roman" w:hAnsi="Times New Roman" w:cs="Times New Roman"/>
                <w:sz w:val="20"/>
                <w:szCs w:val="20"/>
              </w:rPr>
            </w:pPr>
          </w:p>
        </w:tc>
        <w:tc>
          <w:tcPr>
            <w:tcW w:w="3053" w:type="pct"/>
            <w:gridSpan w:val="8"/>
            <w:tcBorders>
              <w:top w:val="single" w:sz="4" w:space="0" w:color="auto"/>
              <w:left w:val="nil"/>
              <w:bottom w:val="nil"/>
              <w:right w:val="nil"/>
            </w:tcBorders>
            <w:noWrap/>
            <w:hideMark/>
          </w:tcPr>
          <w:p w:rsidR="00C13236" w:rsidRPr="0067794B" w:rsidRDefault="00C13236" w:rsidP="000439C1">
            <w:pPr>
              <w:spacing w:after="0" w:line="240" w:lineRule="auto"/>
              <w:jc w:val="both"/>
              <w:rPr>
                <w:rFonts w:ascii="Times New Roman" w:hAnsi="Times New Roman" w:cs="Times New Roman"/>
                <w:sz w:val="20"/>
                <w:szCs w:val="20"/>
              </w:rPr>
            </w:pPr>
            <w:r w:rsidRPr="0067794B">
              <w:rPr>
                <w:rFonts w:ascii="Times New Roman" w:hAnsi="Times New Roman" w:cs="Times New Roman"/>
                <w:sz w:val="20"/>
                <w:szCs w:val="20"/>
              </w:rPr>
              <w:t>Percentage (%)</w:t>
            </w:r>
          </w:p>
        </w:tc>
      </w:tr>
      <w:tr w:rsidR="00C13236" w:rsidRPr="0067794B" w:rsidTr="000439C1">
        <w:trPr>
          <w:trHeight w:val="259"/>
        </w:trPr>
        <w:tc>
          <w:tcPr>
            <w:tcW w:w="1947"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Statement</w:t>
            </w:r>
          </w:p>
        </w:tc>
        <w:tc>
          <w:tcPr>
            <w:tcW w:w="486"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SD</w:t>
            </w:r>
          </w:p>
        </w:tc>
        <w:tc>
          <w:tcPr>
            <w:tcW w:w="388"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D</w:t>
            </w:r>
          </w:p>
        </w:tc>
        <w:tc>
          <w:tcPr>
            <w:tcW w:w="436"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N</w:t>
            </w:r>
          </w:p>
        </w:tc>
        <w:tc>
          <w:tcPr>
            <w:tcW w:w="532" w:type="pct"/>
            <w:gridSpan w:val="2"/>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A</w:t>
            </w:r>
          </w:p>
        </w:tc>
        <w:tc>
          <w:tcPr>
            <w:tcW w:w="388"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SA</w:t>
            </w:r>
          </w:p>
        </w:tc>
        <w:tc>
          <w:tcPr>
            <w:tcW w:w="387"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Mean</w:t>
            </w:r>
          </w:p>
        </w:tc>
        <w:tc>
          <w:tcPr>
            <w:tcW w:w="43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eastAsia="Times New Roman" w:hAnsi="Times New Roman" w:cs="Times New Roman"/>
                <w:b/>
                <w:bCs/>
                <w:color w:val="000000"/>
                <w:sz w:val="20"/>
                <w:szCs w:val="20"/>
              </w:rPr>
              <w:t>STD</w:t>
            </w:r>
          </w:p>
        </w:tc>
      </w:tr>
      <w:tr w:rsidR="00C13236" w:rsidRPr="0067794B" w:rsidTr="000439C1">
        <w:trPr>
          <w:trHeight w:val="259"/>
        </w:trPr>
        <w:tc>
          <w:tcPr>
            <w:tcW w:w="1947" w:type="pct"/>
            <w:tcBorders>
              <w:top w:val="single" w:sz="4" w:space="0" w:color="auto"/>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Management of infrastructural projects is a collective responsibility that involves all stakeholders</w:t>
            </w:r>
          </w:p>
        </w:tc>
        <w:tc>
          <w:tcPr>
            <w:tcW w:w="486" w:type="pct"/>
            <w:tcBorders>
              <w:top w:val="single" w:sz="4" w:space="0" w:color="auto"/>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5.04</w:t>
            </w:r>
          </w:p>
        </w:tc>
        <w:tc>
          <w:tcPr>
            <w:tcW w:w="388" w:type="pct"/>
            <w:tcBorders>
              <w:top w:val="single" w:sz="4" w:space="0" w:color="auto"/>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10.5</w:t>
            </w:r>
          </w:p>
        </w:tc>
        <w:tc>
          <w:tcPr>
            <w:tcW w:w="532" w:type="pct"/>
            <w:gridSpan w:val="2"/>
            <w:tcBorders>
              <w:top w:val="single" w:sz="4" w:space="0" w:color="auto"/>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10.92</w:t>
            </w:r>
          </w:p>
        </w:tc>
        <w:tc>
          <w:tcPr>
            <w:tcW w:w="436" w:type="pct"/>
            <w:tcBorders>
              <w:top w:val="single" w:sz="4" w:space="0" w:color="auto"/>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57.98</w:t>
            </w:r>
          </w:p>
        </w:tc>
        <w:tc>
          <w:tcPr>
            <w:tcW w:w="388" w:type="pct"/>
            <w:tcBorders>
              <w:top w:val="single" w:sz="4" w:space="0" w:color="auto"/>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15.55</w:t>
            </w:r>
          </w:p>
        </w:tc>
        <w:tc>
          <w:tcPr>
            <w:tcW w:w="387"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3.685</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1.022</w:t>
            </w:r>
          </w:p>
        </w:tc>
      </w:tr>
      <w:tr w:rsidR="00C13236" w:rsidRPr="0067794B" w:rsidTr="000439C1">
        <w:trPr>
          <w:trHeight w:val="271"/>
        </w:trPr>
        <w:tc>
          <w:tcPr>
            <w:tcW w:w="1947"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 xml:space="preserve">Stakeholder participation enhances better utilization of </w:t>
            </w:r>
            <w:r w:rsidRPr="009B6A0E">
              <w:rPr>
                <w:rFonts w:ascii="Times New Roman" w:hAnsi="Times New Roman" w:cs="Times New Roman"/>
                <w:sz w:val="24"/>
                <w:szCs w:val="24"/>
              </w:rPr>
              <w:lastRenderedPageBreak/>
              <w:t xml:space="preserve">public resources as the people play an oversight role </w:t>
            </w:r>
          </w:p>
        </w:tc>
        <w:tc>
          <w:tcPr>
            <w:tcW w:w="4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lastRenderedPageBreak/>
              <w:t>6.72</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9.24</w:t>
            </w:r>
          </w:p>
        </w:tc>
        <w:tc>
          <w:tcPr>
            <w:tcW w:w="532" w:type="pct"/>
            <w:gridSpan w:val="2"/>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11.34</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41.18</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31.51</w:t>
            </w:r>
          </w:p>
        </w:tc>
        <w:tc>
          <w:tcPr>
            <w:tcW w:w="387"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3.815</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1.173</w:t>
            </w:r>
          </w:p>
        </w:tc>
      </w:tr>
      <w:tr w:rsidR="00C13236" w:rsidRPr="0067794B" w:rsidTr="000439C1">
        <w:trPr>
          <w:trHeight w:val="271"/>
        </w:trPr>
        <w:tc>
          <w:tcPr>
            <w:tcW w:w="1947"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lastRenderedPageBreak/>
              <w:t>The structures established for stakeholder participation enables effective implementation of infrastructural projects</w:t>
            </w:r>
          </w:p>
        </w:tc>
        <w:tc>
          <w:tcPr>
            <w:tcW w:w="4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3.78</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10.08</w:t>
            </w:r>
          </w:p>
        </w:tc>
        <w:tc>
          <w:tcPr>
            <w:tcW w:w="532" w:type="pct"/>
            <w:gridSpan w:val="2"/>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8.82</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40.76</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36.55</w:t>
            </w:r>
          </w:p>
        </w:tc>
        <w:tc>
          <w:tcPr>
            <w:tcW w:w="387"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3.962</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1.096</w:t>
            </w:r>
          </w:p>
        </w:tc>
      </w:tr>
      <w:tr w:rsidR="00C13236" w:rsidRPr="0067794B" w:rsidTr="000439C1">
        <w:trPr>
          <w:trHeight w:val="271"/>
        </w:trPr>
        <w:tc>
          <w:tcPr>
            <w:tcW w:w="1947"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Frequent stakeholder investigation and reviewing the effects of the completed or ongoing projects to see whether the benefits which were planned to flow from the project have indeed been realized</w:t>
            </w:r>
          </w:p>
        </w:tc>
        <w:tc>
          <w:tcPr>
            <w:tcW w:w="4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2.1</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10.5</w:t>
            </w:r>
          </w:p>
        </w:tc>
        <w:tc>
          <w:tcPr>
            <w:tcW w:w="532" w:type="pct"/>
            <w:gridSpan w:val="2"/>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7.56</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55.46</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24.37</w:t>
            </w:r>
          </w:p>
        </w:tc>
        <w:tc>
          <w:tcPr>
            <w:tcW w:w="387"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3.895</w:t>
            </w:r>
          </w:p>
        </w:tc>
        <w:tc>
          <w:tcPr>
            <w:tcW w:w="43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0.960</w:t>
            </w:r>
          </w:p>
        </w:tc>
      </w:tr>
      <w:tr w:rsidR="00C13236" w:rsidRPr="0067794B" w:rsidTr="000439C1">
        <w:trPr>
          <w:trHeight w:val="271"/>
        </w:trPr>
        <w:tc>
          <w:tcPr>
            <w:tcW w:w="1947" w:type="pct"/>
            <w:tcBorders>
              <w:top w:val="nil"/>
              <w:left w:val="nil"/>
              <w:bottom w:val="single" w:sz="4" w:space="0" w:color="auto"/>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Stakeholders hold frequent consultative meetings to deliberate on the progress of the project management</w:t>
            </w:r>
          </w:p>
        </w:tc>
        <w:tc>
          <w:tcPr>
            <w:tcW w:w="486"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0.84</w:t>
            </w:r>
          </w:p>
        </w:tc>
        <w:tc>
          <w:tcPr>
            <w:tcW w:w="388"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10.08</w:t>
            </w:r>
          </w:p>
        </w:tc>
        <w:tc>
          <w:tcPr>
            <w:tcW w:w="532" w:type="pct"/>
            <w:gridSpan w:val="2"/>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7.98</w:t>
            </w:r>
          </w:p>
        </w:tc>
        <w:tc>
          <w:tcPr>
            <w:tcW w:w="436"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41.6</w:t>
            </w:r>
          </w:p>
        </w:tc>
        <w:tc>
          <w:tcPr>
            <w:tcW w:w="388"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39.5</w:t>
            </w:r>
          </w:p>
        </w:tc>
        <w:tc>
          <w:tcPr>
            <w:tcW w:w="387"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4.088</w:t>
            </w:r>
          </w:p>
        </w:tc>
        <w:tc>
          <w:tcPr>
            <w:tcW w:w="436"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0.975</w:t>
            </w:r>
          </w:p>
        </w:tc>
      </w:tr>
      <w:tr w:rsidR="00C13236" w:rsidRPr="0067794B" w:rsidTr="000439C1">
        <w:trPr>
          <w:trHeight w:val="276"/>
        </w:trPr>
        <w:tc>
          <w:tcPr>
            <w:tcW w:w="1947"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Overall Mean</w:t>
            </w:r>
          </w:p>
        </w:tc>
        <w:tc>
          <w:tcPr>
            <w:tcW w:w="486"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 </w:t>
            </w:r>
          </w:p>
        </w:tc>
        <w:tc>
          <w:tcPr>
            <w:tcW w:w="388"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 </w:t>
            </w:r>
          </w:p>
        </w:tc>
        <w:tc>
          <w:tcPr>
            <w:tcW w:w="532" w:type="pct"/>
            <w:gridSpan w:val="2"/>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 </w:t>
            </w:r>
          </w:p>
        </w:tc>
        <w:tc>
          <w:tcPr>
            <w:tcW w:w="436"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 </w:t>
            </w:r>
          </w:p>
        </w:tc>
        <w:tc>
          <w:tcPr>
            <w:tcW w:w="388"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 </w:t>
            </w:r>
          </w:p>
        </w:tc>
        <w:tc>
          <w:tcPr>
            <w:tcW w:w="387" w:type="pct"/>
            <w:tcBorders>
              <w:top w:val="single" w:sz="4" w:space="0" w:color="auto"/>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3.88</w:t>
            </w:r>
            <w:r w:rsidRPr="0067794B">
              <w:rPr>
                <w:rFonts w:ascii="Times New Roman" w:hAnsi="Times New Roman" w:cs="Times New Roman"/>
                <w:b/>
                <w:bCs/>
                <w:color w:val="000000"/>
                <w:sz w:val="20"/>
                <w:szCs w:val="20"/>
              </w:rPr>
              <w:t>9</w:t>
            </w:r>
          </w:p>
        </w:tc>
        <w:tc>
          <w:tcPr>
            <w:tcW w:w="436" w:type="pct"/>
            <w:tcBorders>
              <w:top w:val="single" w:sz="4" w:space="0" w:color="auto"/>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1.045</w:t>
            </w:r>
          </w:p>
        </w:tc>
      </w:tr>
    </w:tbl>
    <w:p w:rsidR="00C13236" w:rsidRPr="0067794B" w:rsidRDefault="00C13236" w:rsidP="00C13236">
      <w:pPr>
        <w:rPr>
          <w:rFonts w:ascii="Times New Roman" w:hAnsi="Times New Roman" w:cs="Times New Roman"/>
          <w:sz w:val="24"/>
          <w:szCs w:val="24"/>
        </w:rPr>
      </w:pPr>
    </w:p>
    <w:p w:rsidR="00C13236" w:rsidRPr="0067794B" w:rsidRDefault="00C13236" w:rsidP="00C13236">
      <w:pPr>
        <w:pStyle w:val="Heading3"/>
        <w:rPr>
          <w:rFonts w:cs="Times New Roman"/>
        </w:rPr>
      </w:pPr>
      <w:r w:rsidRPr="0067794B">
        <w:rPr>
          <w:rFonts w:cs="Times New Roman"/>
        </w:rPr>
        <w:t xml:space="preserve">4.4.2 </w:t>
      </w:r>
      <w:r>
        <w:rPr>
          <w:rFonts w:eastAsia="Times New Roman" w:cs="Times New Roman"/>
        </w:rPr>
        <w:t>Project financing</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The study sought to establish how the </w:t>
      </w:r>
      <w:r>
        <w:rPr>
          <w:rFonts w:ascii="Times New Roman" w:eastAsia="Times New Roman" w:hAnsi="Times New Roman" w:cs="Times New Roman"/>
          <w:sz w:val="24"/>
          <w:szCs w:val="24"/>
        </w:rPr>
        <w:t>project financing influences the</w:t>
      </w:r>
      <w:r w:rsidRPr="0067794B">
        <w:rPr>
          <w:rFonts w:ascii="Times New Roman" w:eastAsia="Times New Roman" w:hAnsi="Times New Roman" w:cs="Times New Roman"/>
          <w:sz w:val="24"/>
          <w:szCs w:val="24"/>
        </w:rPr>
        <w:t xml:space="preserve"> </w:t>
      </w:r>
      <w:r w:rsidRPr="009B6A0E">
        <w:rPr>
          <w:rFonts w:ascii="Times New Roman" w:hAnsi="Times New Roman" w:cs="Times New Roman"/>
          <w:sz w:val="24"/>
          <w:szCs w:val="24"/>
        </w:rPr>
        <w:t>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sidRPr="0067794B">
        <w:rPr>
          <w:rFonts w:ascii="Times New Roman" w:hAnsi="Times New Roman" w:cs="Times New Roman"/>
          <w:sz w:val="24"/>
          <w:szCs w:val="24"/>
        </w:rPr>
        <w:t xml:space="preserve">. The responses were rated on a </w:t>
      </w:r>
      <w:proofErr w:type="spellStart"/>
      <w:r w:rsidRPr="0067794B">
        <w:rPr>
          <w:rFonts w:ascii="Times New Roman" w:hAnsi="Times New Roman" w:cs="Times New Roman"/>
          <w:sz w:val="24"/>
          <w:szCs w:val="24"/>
        </w:rPr>
        <w:t>Likert</w:t>
      </w:r>
      <w:proofErr w:type="spellEnd"/>
      <w:r w:rsidRPr="0067794B">
        <w:rPr>
          <w:rFonts w:ascii="Times New Roman" w:hAnsi="Times New Roman" w:cs="Times New Roman"/>
          <w:sz w:val="24"/>
          <w:szCs w:val="24"/>
        </w:rPr>
        <w:t xml:space="preserve"> scale and the results are as presented in table 4.11. The study results on</w:t>
      </w:r>
      <w:r>
        <w:rPr>
          <w:rFonts w:ascii="Times New Roman" w:hAnsi="Times New Roman" w:cs="Times New Roman"/>
          <w:sz w:val="24"/>
          <w:szCs w:val="24"/>
        </w:rPr>
        <w:t xml:space="preserve"> whether there was </w:t>
      </w:r>
      <w:r w:rsidRPr="009B6A0E">
        <w:rPr>
          <w:rFonts w:ascii="Times New Roman" w:hAnsi="Times New Roman" w:cs="Times New Roman"/>
          <w:sz w:val="24"/>
          <w:szCs w:val="24"/>
        </w:rPr>
        <w:t>accountability and transparency in the use of fund for the implementation of infrastructural projects</w:t>
      </w:r>
      <w:r w:rsidRPr="0067794B">
        <w:rPr>
          <w:rFonts w:ascii="Times New Roman" w:hAnsi="Times New Roman" w:cs="Times New Roman"/>
          <w:sz w:val="24"/>
          <w:szCs w:val="24"/>
        </w:rPr>
        <w:t xml:space="preserve">, 85.7%, supported the statement that the school had enough resources for ICT integration. The mean and the standard deviation for this statement was 4.0 04 while the standard deviation was 0.9. The study also established that the majority, 77.3% of the respondents concurred that </w:t>
      </w:r>
      <w:r>
        <w:rPr>
          <w:rFonts w:ascii="Times New Roman" w:hAnsi="Times New Roman" w:cs="Times New Roman"/>
          <w:sz w:val="24"/>
          <w:szCs w:val="24"/>
        </w:rPr>
        <w:t>they were</w:t>
      </w:r>
      <w:r w:rsidRPr="009B6A0E">
        <w:rPr>
          <w:rFonts w:ascii="Times New Roman" w:hAnsi="Times New Roman" w:cs="Times New Roman"/>
          <w:sz w:val="24"/>
          <w:szCs w:val="24"/>
        </w:rPr>
        <w:t xml:space="preserve"> satisfied with the auditing process of infrastructural projects</w:t>
      </w:r>
      <w:r w:rsidRPr="0067794B">
        <w:rPr>
          <w:rFonts w:ascii="Times New Roman" w:hAnsi="Times New Roman" w:cs="Times New Roman"/>
          <w:sz w:val="24"/>
          <w:szCs w:val="24"/>
        </w:rPr>
        <w:t>. Their mean was also 3.8 while the standard deviation was 1.1 indicating variation in responses. The study established that the majority, 45.8% of the respondents concurred that</w:t>
      </w:r>
      <w:r>
        <w:rPr>
          <w:rFonts w:ascii="Times New Roman" w:hAnsi="Times New Roman" w:cs="Times New Roman"/>
          <w:sz w:val="24"/>
          <w:szCs w:val="24"/>
        </w:rPr>
        <w:t xml:space="preserve"> the f</w:t>
      </w:r>
      <w:r w:rsidRPr="009B6A0E">
        <w:rPr>
          <w:rFonts w:ascii="Times New Roman" w:hAnsi="Times New Roman" w:cs="Times New Roman"/>
          <w:sz w:val="24"/>
          <w:szCs w:val="24"/>
        </w:rPr>
        <w:t xml:space="preserve">unds </w:t>
      </w:r>
      <w:r>
        <w:rPr>
          <w:rFonts w:ascii="Times New Roman" w:hAnsi="Times New Roman" w:cs="Times New Roman"/>
          <w:sz w:val="24"/>
          <w:szCs w:val="24"/>
        </w:rPr>
        <w:t>were</w:t>
      </w:r>
      <w:r w:rsidRPr="009B6A0E">
        <w:rPr>
          <w:rFonts w:ascii="Times New Roman" w:hAnsi="Times New Roman" w:cs="Times New Roman"/>
          <w:sz w:val="24"/>
          <w:szCs w:val="24"/>
        </w:rPr>
        <w:t xml:space="preserve"> timely disbursed to the identified infrastru</w:t>
      </w:r>
      <w:r>
        <w:rPr>
          <w:rFonts w:ascii="Times New Roman" w:hAnsi="Times New Roman" w:cs="Times New Roman"/>
          <w:sz w:val="24"/>
          <w:szCs w:val="24"/>
        </w:rPr>
        <w:t>ctural projects which</w:t>
      </w:r>
      <w:r w:rsidRPr="009B6A0E">
        <w:rPr>
          <w:rFonts w:ascii="Times New Roman" w:hAnsi="Times New Roman" w:cs="Times New Roman"/>
          <w:sz w:val="24"/>
          <w:szCs w:val="24"/>
        </w:rPr>
        <w:t xml:space="preserve"> lowered project delays</w:t>
      </w:r>
      <w:r w:rsidRPr="0067794B">
        <w:rPr>
          <w:rFonts w:ascii="Times New Roman" w:hAnsi="Times New Roman" w:cs="Times New Roman"/>
          <w:sz w:val="24"/>
          <w:szCs w:val="24"/>
        </w:rPr>
        <w:t xml:space="preserve">. Their mean was also 3.4 while the standard deviation was 1.2 indicating variation in responses. About 17% and 47%, of the respondents just agreed and strongly agreed with the fact that </w:t>
      </w:r>
      <w:r>
        <w:rPr>
          <w:rFonts w:ascii="Times New Roman" w:hAnsi="Times New Roman" w:cs="Times New Roman"/>
          <w:sz w:val="24"/>
          <w:szCs w:val="24"/>
        </w:rPr>
        <w:t>t</w:t>
      </w:r>
      <w:r w:rsidRPr="009B6A0E">
        <w:rPr>
          <w:rFonts w:ascii="Times New Roman" w:hAnsi="Times New Roman" w:cs="Times New Roman"/>
          <w:sz w:val="24"/>
          <w:szCs w:val="24"/>
        </w:rPr>
        <w:t xml:space="preserve">here </w:t>
      </w:r>
      <w:r>
        <w:rPr>
          <w:rFonts w:ascii="Times New Roman" w:hAnsi="Times New Roman" w:cs="Times New Roman"/>
          <w:sz w:val="24"/>
          <w:szCs w:val="24"/>
        </w:rPr>
        <w:t>were</w:t>
      </w:r>
      <w:r w:rsidRPr="009B6A0E">
        <w:rPr>
          <w:rFonts w:ascii="Times New Roman" w:hAnsi="Times New Roman" w:cs="Times New Roman"/>
          <w:sz w:val="24"/>
          <w:szCs w:val="24"/>
        </w:rPr>
        <w:t xml:space="preserve"> sufficient funds allocated for various aspects of infrastructural projects which resulted </w:t>
      </w:r>
      <w:r>
        <w:rPr>
          <w:rFonts w:ascii="Times New Roman" w:hAnsi="Times New Roman" w:cs="Times New Roman"/>
          <w:sz w:val="24"/>
          <w:szCs w:val="24"/>
        </w:rPr>
        <w:t xml:space="preserve">to </w:t>
      </w:r>
      <w:r w:rsidRPr="009B6A0E">
        <w:rPr>
          <w:rFonts w:ascii="Times New Roman" w:hAnsi="Times New Roman" w:cs="Times New Roman"/>
          <w:sz w:val="24"/>
          <w:szCs w:val="24"/>
        </w:rPr>
        <w:t>their effective implementation</w:t>
      </w:r>
      <w:r w:rsidRPr="0067794B">
        <w:rPr>
          <w:rFonts w:ascii="Times New Roman" w:hAnsi="Times New Roman" w:cs="Times New Roman"/>
          <w:sz w:val="24"/>
          <w:szCs w:val="24"/>
        </w:rPr>
        <w:t>. Only 28% disagreed with that statement. This made the mean for the statement to be 3.7 with a standard deviation 1.4 indicating some variation in responses.</w:t>
      </w:r>
    </w:p>
    <w:p w:rsidR="00C13236" w:rsidRPr="00253300"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Lastly, the majority of the respondents, 79%, </w:t>
      </w:r>
      <w:r>
        <w:rPr>
          <w:rFonts w:ascii="Times New Roman" w:hAnsi="Times New Roman" w:cs="Times New Roman"/>
          <w:sz w:val="24"/>
          <w:szCs w:val="24"/>
        </w:rPr>
        <w:t>agreed that the a</w:t>
      </w:r>
      <w:r w:rsidRPr="009B6A0E">
        <w:rPr>
          <w:rFonts w:ascii="Times New Roman" w:hAnsi="Times New Roman" w:cs="Times New Roman"/>
          <w:sz w:val="24"/>
          <w:szCs w:val="24"/>
        </w:rPr>
        <w:t xml:space="preserve">llocated funds </w:t>
      </w:r>
      <w:r>
        <w:rPr>
          <w:rFonts w:ascii="Times New Roman" w:hAnsi="Times New Roman" w:cs="Times New Roman"/>
          <w:sz w:val="24"/>
          <w:szCs w:val="24"/>
        </w:rPr>
        <w:t>were</w:t>
      </w:r>
      <w:r w:rsidRPr="009B6A0E">
        <w:rPr>
          <w:rFonts w:ascii="Times New Roman" w:hAnsi="Times New Roman" w:cs="Times New Roman"/>
          <w:sz w:val="24"/>
          <w:szCs w:val="24"/>
        </w:rPr>
        <w:t xml:space="preserve"> inadequate to the identified infrastructural projects which increased project delays</w:t>
      </w:r>
      <w:r w:rsidRPr="0067794B">
        <w:rPr>
          <w:rFonts w:ascii="Times New Roman" w:hAnsi="Times New Roman" w:cs="Times New Roman"/>
          <w:sz w:val="24"/>
          <w:szCs w:val="24"/>
        </w:rPr>
        <w:t xml:space="preserve"> </w:t>
      </w:r>
      <w:proofErr w:type="gramStart"/>
      <w:r w:rsidRPr="0067794B">
        <w:rPr>
          <w:rFonts w:ascii="Times New Roman" w:hAnsi="Times New Roman" w:cs="Times New Roman"/>
          <w:sz w:val="24"/>
          <w:szCs w:val="24"/>
        </w:rPr>
        <w:t>The</w:t>
      </w:r>
      <w:proofErr w:type="gramEnd"/>
      <w:r w:rsidRPr="0067794B">
        <w:rPr>
          <w:rFonts w:ascii="Times New Roman" w:hAnsi="Times New Roman" w:cs="Times New Roman"/>
          <w:sz w:val="24"/>
          <w:szCs w:val="24"/>
        </w:rPr>
        <w:t xml:space="preserve"> mean and the standard deviation for this statement was 3.98 and 1.1 respectively. The overall mean for </w:t>
      </w:r>
      <w:r>
        <w:rPr>
          <w:rFonts w:ascii="Times New Roman" w:hAnsi="Times New Roman" w:cs="Times New Roman"/>
          <w:sz w:val="24"/>
          <w:szCs w:val="24"/>
        </w:rPr>
        <w:t xml:space="preserve">the </w:t>
      </w:r>
      <w:r>
        <w:rPr>
          <w:rFonts w:ascii="Times New Roman" w:hAnsi="Times New Roman" w:cs="Times New Roman"/>
          <w:sz w:val="24"/>
          <w:szCs w:val="24"/>
        </w:rPr>
        <w:lastRenderedPageBreak/>
        <w:t>structural variable was 3.78</w:t>
      </w:r>
      <w:r w:rsidRPr="0067794B">
        <w:rPr>
          <w:rFonts w:ascii="Times New Roman" w:hAnsi="Times New Roman" w:cs="Times New Roman"/>
          <w:sz w:val="24"/>
          <w:szCs w:val="24"/>
        </w:rPr>
        <w:t>, indicating that majority of the respondents just agreed with the statements</w:t>
      </w:r>
      <w:r>
        <w:rPr>
          <w:rFonts w:ascii="Times New Roman" w:hAnsi="Times New Roman" w:cs="Times New Roman"/>
          <w:sz w:val="24"/>
          <w:szCs w:val="24"/>
        </w:rPr>
        <w:t>. The standard deviation was 1.2</w:t>
      </w:r>
      <w:r w:rsidRPr="0067794B">
        <w:rPr>
          <w:rFonts w:ascii="Times New Roman" w:hAnsi="Times New Roman" w:cs="Times New Roman"/>
          <w:sz w:val="24"/>
          <w:szCs w:val="24"/>
        </w:rPr>
        <w:t>, indicating that there was some varia</w:t>
      </w:r>
      <w:r>
        <w:rPr>
          <w:rFonts w:ascii="Times New Roman" w:hAnsi="Times New Roman" w:cs="Times New Roman"/>
          <w:sz w:val="24"/>
          <w:szCs w:val="24"/>
        </w:rPr>
        <w:t>tion in all of the responses.</w:t>
      </w:r>
    </w:p>
    <w:p w:rsidR="00C13236" w:rsidRPr="0067794B" w:rsidRDefault="00C13236" w:rsidP="00C13236">
      <w:pPr>
        <w:spacing w:after="120" w:line="360" w:lineRule="auto"/>
        <w:jc w:val="both"/>
        <w:rPr>
          <w:rFonts w:ascii="Times New Roman" w:hAnsi="Times New Roman" w:cs="Times New Roman"/>
          <w:b/>
          <w:bCs/>
          <w:spacing w:val="-3"/>
          <w:position w:val="-1"/>
          <w:sz w:val="24"/>
          <w:szCs w:val="24"/>
        </w:rPr>
      </w:pPr>
      <w:r>
        <w:rPr>
          <w:rFonts w:ascii="Times New Roman" w:hAnsi="Times New Roman" w:cs="Times New Roman"/>
          <w:b/>
          <w:bCs/>
          <w:spacing w:val="-3"/>
          <w:position w:val="-1"/>
          <w:sz w:val="24"/>
          <w:szCs w:val="24"/>
        </w:rPr>
        <w:t>Table 4.9</w:t>
      </w:r>
      <w:r w:rsidRPr="0067794B">
        <w:rPr>
          <w:rFonts w:ascii="Times New Roman" w:hAnsi="Times New Roman" w:cs="Times New Roman"/>
          <w:b/>
          <w:bCs/>
          <w:spacing w:val="-3"/>
          <w:position w:val="-1"/>
          <w:sz w:val="24"/>
          <w:szCs w:val="24"/>
        </w:rPr>
        <w:t xml:space="preserve">: </w:t>
      </w:r>
      <w:r w:rsidRPr="001B43BC">
        <w:rPr>
          <w:rFonts w:ascii="Times New Roman" w:hAnsi="Times New Roman" w:cs="Times New Roman"/>
          <w:b/>
          <w:bCs/>
          <w:spacing w:val="-3"/>
          <w:position w:val="-1"/>
          <w:sz w:val="24"/>
          <w:szCs w:val="24"/>
        </w:rPr>
        <w:t>Project financing</w:t>
      </w:r>
      <w:r w:rsidRPr="0067794B">
        <w:rPr>
          <w:rFonts w:ascii="Times New Roman" w:hAnsi="Times New Roman" w:cs="Times New Roman"/>
          <w:b/>
          <w:bCs/>
          <w:spacing w:val="-3"/>
          <w:position w:val="-1"/>
          <w:sz w:val="24"/>
          <w:szCs w:val="24"/>
        </w:rPr>
        <w:t xml:space="preserve"> </w:t>
      </w:r>
    </w:p>
    <w:tbl>
      <w:tblPr>
        <w:tblW w:w="5094" w:type="pct"/>
        <w:tblBorders>
          <w:top w:val="single" w:sz="4" w:space="0" w:color="auto"/>
          <w:bottom w:val="single" w:sz="4" w:space="0" w:color="auto"/>
        </w:tblBorders>
        <w:tblLayout w:type="fixed"/>
        <w:tblLook w:val="04A0" w:firstRow="1" w:lastRow="0" w:firstColumn="1" w:lastColumn="0" w:noHBand="0" w:noVBand="1"/>
      </w:tblPr>
      <w:tblGrid>
        <w:gridCol w:w="3753"/>
        <w:gridCol w:w="1041"/>
        <w:gridCol w:w="695"/>
        <w:gridCol w:w="795"/>
        <w:gridCol w:w="741"/>
        <w:gridCol w:w="710"/>
        <w:gridCol w:w="747"/>
        <w:gridCol w:w="714"/>
      </w:tblGrid>
      <w:tr w:rsidR="00C13236" w:rsidRPr="0067794B" w:rsidTr="000439C1">
        <w:trPr>
          <w:trHeight w:val="350"/>
        </w:trPr>
        <w:tc>
          <w:tcPr>
            <w:tcW w:w="2041" w:type="pct"/>
            <w:tcBorders>
              <w:top w:val="single" w:sz="4" w:space="0" w:color="auto"/>
              <w:left w:val="nil"/>
              <w:bottom w:val="nil"/>
              <w:right w:val="nil"/>
            </w:tcBorders>
            <w:noWrap/>
          </w:tcPr>
          <w:p w:rsidR="00C13236" w:rsidRPr="0067794B" w:rsidRDefault="00C13236" w:rsidP="000439C1">
            <w:pPr>
              <w:spacing w:after="0" w:line="240" w:lineRule="auto"/>
              <w:jc w:val="both"/>
              <w:rPr>
                <w:rFonts w:ascii="Times New Roman" w:hAnsi="Times New Roman" w:cs="Times New Roman"/>
                <w:sz w:val="20"/>
                <w:szCs w:val="20"/>
              </w:rPr>
            </w:pPr>
          </w:p>
        </w:tc>
        <w:tc>
          <w:tcPr>
            <w:tcW w:w="2959" w:type="pct"/>
            <w:gridSpan w:val="7"/>
            <w:tcBorders>
              <w:top w:val="single" w:sz="4" w:space="0" w:color="auto"/>
              <w:left w:val="nil"/>
              <w:bottom w:val="nil"/>
              <w:right w:val="nil"/>
            </w:tcBorders>
            <w:noWrap/>
            <w:hideMark/>
          </w:tcPr>
          <w:p w:rsidR="00C13236" w:rsidRPr="0067794B" w:rsidRDefault="00C13236" w:rsidP="000439C1">
            <w:pPr>
              <w:spacing w:after="0" w:line="240" w:lineRule="auto"/>
              <w:jc w:val="both"/>
              <w:rPr>
                <w:rFonts w:ascii="Times New Roman" w:hAnsi="Times New Roman" w:cs="Times New Roman"/>
                <w:sz w:val="20"/>
                <w:szCs w:val="20"/>
              </w:rPr>
            </w:pPr>
            <w:r w:rsidRPr="0067794B">
              <w:rPr>
                <w:rFonts w:ascii="Times New Roman" w:hAnsi="Times New Roman" w:cs="Times New Roman"/>
                <w:sz w:val="20"/>
                <w:szCs w:val="20"/>
              </w:rPr>
              <w:t>Percentage (%)</w:t>
            </w:r>
          </w:p>
        </w:tc>
      </w:tr>
      <w:tr w:rsidR="00C13236" w:rsidRPr="0067794B" w:rsidTr="000439C1">
        <w:trPr>
          <w:trHeight w:val="350"/>
        </w:trPr>
        <w:tc>
          <w:tcPr>
            <w:tcW w:w="2041"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Statement</w:t>
            </w:r>
          </w:p>
        </w:tc>
        <w:tc>
          <w:tcPr>
            <w:tcW w:w="566"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SD</w:t>
            </w:r>
          </w:p>
        </w:tc>
        <w:tc>
          <w:tcPr>
            <w:tcW w:w="378"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D</w:t>
            </w:r>
          </w:p>
        </w:tc>
        <w:tc>
          <w:tcPr>
            <w:tcW w:w="432"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N</w:t>
            </w:r>
          </w:p>
        </w:tc>
        <w:tc>
          <w:tcPr>
            <w:tcW w:w="403"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A</w:t>
            </w:r>
          </w:p>
        </w:tc>
        <w:tc>
          <w:tcPr>
            <w:tcW w:w="386"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SA</w:t>
            </w:r>
          </w:p>
        </w:tc>
        <w:tc>
          <w:tcPr>
            <w:tcW w:w="406"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hAnsi="Times New Roman" w:cs="Times New Roman"/>
                <w:b/>
                <w:sz w:val="20"/>
                <w:szCs w:val="20"/>
              </w:rPr>
              <w:t>Mean</w:t>
            </w:r>
          </w:p>
        </w:tc>
        <w:tc>
          <w:tcPr>
            <w:tcW w:w="388" w:type="pct"/>
            <w:tcBorders>
              <w:top w:val="nil"/>
              <w:left w:val="nil"/>
              <w:bottom w:val="single" w:sz="4" w:space="0" w:color="auto"/>
              <w:right w:val="nil"/>
            </w:tcBorders>
            <w:noWrap/>
            <w:hideMark/>
          </w:tcPr>
          <w:p w:rsidR="00C13236" w:rsidRPr="0067794B" w:rsidRDefault="00C13236" w:rsidP="000439C1">
            <w:pPr>
              <w:spacing w:after="0" w:line="240" w:lineRule="auto"/>
              <w:jc w:val="center"/>
              <w:rPr>
                <w:rFonts w:ascii="Times New Roman" w:hAnsi="Times New Roman" w:cs="Times New Roman"/>
                <w:b/>
                <w:sz w:val="20"/>
                <w:szCs w:val="20"/>
              </w:rPr>
            </w:pPr>
            <w:r w:rsidRPr="0067794B">
              <w:rPr>
                <w:rFonts w:ascii="Times New Roman" w:eastAsia="Times New Roman" w:hAnsi="Times New Roman" w:cs="Times New Roman"/>
                <w:b/>
                <w:bCs/>
                <w:color w:val="000000"/>
                <w:sz w:val="20"/>
                <w:szCs w:val="20"/>
              </w:rPr>
              <w:t>STD</w:t>
            </w:r>
          </w:p>
        </w:tc>
      </w:tr>
      <w:tr w:rsidR="00C13236" w:rsidRPr="0067794B" w:rsidTr="000439C1">
        <w:trPr>
          <w:trHeight w:val="350"/>
        </w:trPr>
        <w:tc>
          <w:tcPr>
            <w:tcW w:w="2041"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There is accountability and transparency in the use of fund for the implementation of infrastructural projects</w:t>
            </w:r>
          </w:p>
        </w:tc>
        <w:tc>
          <w:tcPr>
            <w:tcW w:w="56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2.52</w:t>
            </w:r>
          </w:p>
        </w:tc>
        <w:tc>
          <w:tcPr>
            <w:tcW w:w="37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7.98</w:t>
            </w:r>
          </w:p>
        </w:tc>
        <w:tc>
          <w:tcPr>
            <w:tcW w:w="432"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3.78</w:t>
            </w:r>
          </w:p>
        </w:tc>
        <w:tc>
          <w:tcPr>
            <w:tcW w:w="403"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57.98</w:t>
            </w:r>
          </w:p>
        </w:tc>
        <w:tc>
          <w:tcPr>
            <w:tcW w:w="3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27.73</w:t>
            </w:r>
          </w:p>
        </w:tc>
        <w:tc>
          <w:tcPr>
            <w:tcW w:w="40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4.004</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0.930</w:t>
            </w:r>
          </w:p>
        </w:tc>
      </w:tr>
      <w:tr w:rsidR="00C13236" w:rsidRPr="0067794B" w:rsidTr="000439C1">
        <w:trPr>
          <w:trHeight w:val="369"/>
        </w:trPr>
        <w:tc>
          <w:tcPr>
            <w:tcW w:w="2041"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 am satisfied with the auditing process of infrastructural projects</w:t>
            </w:r>
          </w:p>
        </w:tc>
        <w:tc>
          <w:tcPr>
            <w:tcW w:w="56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4.2</w:t>
            </w:r>
          </w:p>
        </w:tc>
        <w:tc>
          <w:tcPr>
            <w:tcW w:w="37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14.71</w:t>
            </w:r>
          </w:p>
        </w:tc>
        <w:tc>
          <w:tcPr>
            <w:tcW w:w="432"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3.78</w:t>
            </w:r>
          </w:p>
        </w:tc>
        <w:tc>
          <w:tcPr>
            <w:tcW w:w="403"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47.06</w:t>
            </w:r>
          </w:p>
        </w:tc>
        <w:tc>
          <w:tcPr>
            <w:tcW w:w="3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30.25</w:t>
            </w:r>
          </w:p>
        </w:tc>
        <w:tc>
          <w:tcPr>
            <w:tcW w:w="40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3.845</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1.135</w:t>
            </w:r>
          </w:p>
        </w:tc>
      </w:tr>
      <w:tr w:rsidR="00C13236" w:rsidRPr="0067794B" w:rsidTr="000439C1">
        <w:trPr>
          <w:trHeight w:val="369"/>
        </w:trPr>
        <w:tc>
          <w:tcPr>
            <w:tcW w:w="2041"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Funds are timely disbursed to the identified infrastructural projects which has lowered project delays</w:t>
            </w:r>
          </w:p>
        </w:tc>
        <w:tc>
          <w:tcPr>
            <w:tcW w:w="56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8.82</w:t>
            </w:r>
          </w:p>
        </w:tc>
        <w:tc>
          <w:tcPr>
            <w:tcW w:w="37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13.87</w:t>
            </w:r>
          </w:p>
        </w:tc>
        <w:tc>
          <w:tcPr>
            <w:tcW w:w="432"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31.51</w:t>
            </w:r>
          </w:p>
        </w:tc>
        <w:tc>
          <w:tcPr>
            <w:tcW w:w="403"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23.95</w:t>
            </w:r>
          </w:p>
        </w:tc>
        <w:tc>
          <w:tcPr>
            <w:tcW w:w="3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21.85</w:t>
            </w:r>
          </w:p>
        </w:tc>
        <w:tc>
          <w:tcPr>
            <w:tcW w:w="40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3.361</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1.217</w:t>
            </w:r>
          </w:p>
        </w:tc>
      </w:tr>
      <w:tr w:rsidR="00C13236" w:rsidRPr="0067794B" w:rsidTr="000439C1">
        <w:trPr>
          <w:trHeight w:val="369"/>
        </w:trPr>
        <w:tc>
          <w:tcPr>
            <w:tcW w:w="2041"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 xml:space="preserve">There are sufficient funds allocated for various aspect of infrastructural projects which has resulted their effective implementation </w:t>
            </w:r>
          </w:p>
        </w:tc>
        <w:tc>
          <w:tcPr>
            <w:tcW w:w="56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9.66</w:t>
            </w:r>
          </w:p>
        </w:tc>
        <w:tc>
          <w:tcPr>
            <w:tcW w:w="37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18.49</w:t>
            </w:r>
          </w:p>
        </w:tc>
        <w:tc>
          <w:tcPr>
            <w:tcW w:w="432"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7.98</w:t>
            </w:r>
          </w:p>
        </w:tc>
        <w:tc>
          <w:tcPr>
            <w:tcW w:w="403"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17.23</w:t>
            </w:r>
          </w:p>
        </w:tc>
        <w:tc>
          <w:tcPr>
            <w:tcW w:w="38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46.64</w:t>
            </w:r>
          </w:p>
        </w:tc>
        <w:tc>
          <w:tcPr>
            <w:tcW w:w="406"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3.727</w:t>
            </w:r>
          </w:p>
        </w:tc>
        <w:tc>
          <w:tcPr>
            <w:tcW w:w="388" w:type="pct"/>
            <w:tcBorders>
              <w:top w:val="nil"/>
              <w:left w:val="nil"/>
              <w:bottom w:val="nil"/>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1.446</w:t>
            </w:r>
          </w:p>
        </w:tc>
      </w:tr>
      <w:tr w:rsidR="00C13236" w:rsidRPr="0067794B" w:rsidTr="000439C1">
        <w:trPr>
          <w:trHeight w:val="369"/>
        </w:trPr>
        <w:tc>
          <w:tcPr>
            <w:tcW w:w="2041" w:type="pct"/>
            <w:tcBorders>
              <w:top w:val="nil"/>
              <w:left w:val="nil"/>
              <w:bottom w:val="single" w:sz="4" w:space="0" w:color="auto"/>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Allocated funds are inadequate to the identified infrastructural projects which has increased project delays</w:t>
            </w:r>
          </w:p>
        </w:tc>
        <w:tc>
          <w:tcPr>
            <w:tcW w:w="566"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4.2</w:t>
            </w:r>
          </w:p>
        </w:tc>
        <w:tc>
          <w:tcPr>
            <w:tcW w:w="378"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10.5</w:t>
            </w:r>
          </w:p>
        </w:tc>
        <w:tc>
          <w:tcPr>
            <w:tcW w:w="432"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5.88</w:t>
            </w:r>
          </w:p>
        </w:tc>
        <w:tc>
          <w:tcPr>
            <w:tcW w:w="403"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41.6</w:t>
            </w:r>
          </w:p>
        </w:tc>
        <w:tc>
          <w:tcPr>
            <w:tcW w:w="386"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37.82</w:t>
            </w:r>
          </w:p>
        </w:tc>
        <w:tc>
          <w:tcPr>
            <w:tcW w:w="406"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3.983</w:t>
            </w:r>
          </w:p>
        </w:tc>
        <w:tc>
          <w:tcPr>
            <w:tcW w:w="388" w:type="pct"/>
            <w:tcBorders>
              <w:top w:val="nil"/>
              <w:left w:val="nil"/>
              <w:bottom w:val="single" w:sz="4" w:space="0" w:color="auto"/>
              <w:right w:val="nil"/>
            </w:tcBorders>
            <w:noWrap/>
            <w:vAlign w:val="center"/>
            <w:hideMark/>
          </w:tcPr>
          <w:p w:rsidR="00C13236" w:rsidRPr="0067794B" w:rsidRDefault="00C13236" w:rsidP="000439C1">
            <w:pPr>
              <w:jc w:val="center"/>
              <w:rPr>
                <w:rFonts w:ascii="Times New Roman" w:hAnsi="Times New Roman" w:cs="Times New Roman"/>
                <w:color w:val="000000"/>
                <w:sz w:val="20"/>
                <w:szCs w:val="20"/>
              </w:rPr>
            </w:pPr>
            <w:r w:rsidRPr="0067794B">
              <w:rPr>
                <w:rFonts w:ascii="Times New Roman" w:hAnsi="Times New Roman" w:cs="Times New Roman"/>
                <w:color w:val="000000"/>
                <w:sz w:val="20"/>
                <w:szCs w:val="20"/>
              </w:rPr>
              <w:t>1.114</w:t>
            </w:r>
          </w:p>
        </w:tc>
      </w:tr>
      <w:tr w:rsidR="00C13236" w:rsidRPr="0067794B" w:rsidTr="000439C1">
        <w:trPr>
          <w:trHeight w:val="376"/>
        </w:trPr>
        <w:tc>
          <w:tcPr>
            <w:tcW w:w="2041"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Overall Mean</w:t>
            </w:r>
          </w:p>
        </w:tc>
        <w:tc>
          <w:tcPr>
            <w:tcW w:w="566" w:type="pct"/>
            <w:tcBorders>
              <w:top w:val="single" w:sz="4" w:space="0" w:color="auto"/>
              <w:left w:val="nil"/>
              <w:bottom w:val="single" w:sz="4" w:space="0" w:color="auto"/>
              <w:right w:val="nil"/>
            </w:tcBorders>
            <w:noWrap/>
            <w:hideMark/>
          </w:tcPr>
          <w:p w:rsidR="00C13236" w:rsidRPr="0067794B" w:rsidRDefault="00C13236" w:rsidP="000439C1">
            <w:pPr>
              <w:rPr>
                <w:rFonts w:ascii="Times New Roman" w:hAnsi="Times New Roman" w:cs="Times New Roman"/>
                <w:b/>
                <w:sz w:val="20"/>
                <w:szCs w:val="20"/>
              </w:rPr>
            </w:pPr>
          </w:p>
        </w:tc>
        <w:tc>
          <w:tcPr>
            <w:tcW w:w="378" w:type="pct"/>
            <w:tcBorders>
              <w:top w:val="single" w:sz="4" w:space="0" w:color="auto"/>
              <w:left w:val="nil"/>
              <w:bottom w:val="single" w:sz="4" w:space="0" w:color="auto"/>
              <w:right w:val="nil"/>
            </w:tcBorders>
            <w:noWrap/>
            <w:hideMark/>
          </w:tcPr>
          <w:p w:rsidR="00C13236" w:rsidRPr="0067794B" w:rsidRDefault="00C13236" w:rsidP="000439C1">
            <w:pPr>
              <w:spacing w:after="0"/>
              <w:rPr>
                <w:rFonts w:ascii="Times New Roman" w:hAnsi="Times New Roman" w:cs="Times New Roman"/>
                <w:b/>
                <w:sz w:val="20"/>
                <w:szCs w:val="20"/>
                <w:lang w:eastAsia="en-GB"/>
              </w:rPr>
            </w:pPr>
          </w:p>
        </w:tc>
        <w:tc>
          <w:tcPr>
            <w:tcW w:w="432" w:type="pct"/>
            <w:tcBorders>
              <w:top w:val="single" w:sz="4" w:space="0" w:color="auto"/>
              <w:left w:val="nil"/>
              <w:bottom w:val="single" w:sz="4" w:space="0" w:color="auto"/>
              <w:right w:val="nil"/>
            </w:tcBorders>
            <w:noWrap/>
            <w:hideMark/>
          </w:tcPr>
          <w:p w:rsidR="00C13236" w:rsidRPr="0067794B" w:rsidRDefault="00C13236" w:rsidP="000439C1">
            <w:pPr>
              <w:spacing w:after="0"/>
              <w:rPr>
                <w:rFonts w:ascii="Times New Roman" w:hAnsi="Times New Roman" w:cs="Times New Roman"/>
                <w:b/>
                <w:sz w:val="20"/>
                <w:szCs w:val="20"/>
                <w:lang w:eastAsia="en-GB"/>
              </w:rPr>
            </w:pPr>
          </w:p>
        </w:tc>
        <w:tc>
          <w:tcPr>
            <w:tcW w:w="403" w:type="pct"/>
            <w:tcBorders>
              <w:top w:val="single" w:sz="4" w:space="0" w:color="auto"/>
              <w:left w:val="nil"/>
              <w:bottom w:val="single" w:sz="4" w:space="0" w:color="auto"/>
              <w:right w:val="nil"/>
            </w:tcBorders>
            <w:noWrap/>
            <w:hideMark/>
          </w:tcPr>
          <w:p w:rsidR="00C13236" w:rsidRPr="0067794B" w:rsidRDefault="00C13236" w:rsidP="000439C1">
            <w:pPr>
              <w:spacing w:after="0"/>
              <w:rPr>
                <w:rFonts w:ascii="Times New Roman" w:hAnsi="Times New Roman" w:cs="Times New Roman"/>
                <w:b/>
                <w:sz w:val="20"/>
                <w:szCs w:val="20"/>
                <w:lang w:eastAsia="en-GB"/>
              </w:rPr>
            </w:pPr>
          </w:p>
        </w:tc>
        <w:tc>
          <w:tcPr>
            <w:tcW w:w="386" w:type="pct"/>
            <w:tcBorders>
              <w:top w:val="single" w:sz="4" w:space="0" w:color="auto"/>
              <w:left w:val="nil"/>
              <w:bottom w:val="single" w:sz="4" w:space="0" w:color="auto"/>
              <w:right w:val="nil"/>
            </w:tcBorders>
            <w:noWrap/>
            <w:hideMark/>
          </w:tcPr>
          <w:p w:rsidR="00C13236" w:rsidRPr="0067794B" w:rsidRDefault="00C13236" w:rsidP="000439C1">
            <w:pPr>
              <w:spacing w:after="0"/>
              <w:rPr>
                <w:rFonts w:ascii="Times New Roman" w:hAnsi="Times New Roman" w:cs="Times New Roman"/>
                <w:b/>
                <w:sz w:val="20"/>
                <w:szCs w:val="20"/>
                <w:lang w:eastAsia="en-GB"/>
              </w:rPr>
            </w:pPr>
          </w:p>
        </w:tc>
        <w:tc>
          <w:tcPr>
            <w:tcW w:w="406" w:type="pct"/>
            <w:tcBorders>
              <w:top w:val="single" w:sz="4" w:space="0" w:color="auto"/>
              <w:left w:val="nil"/>
              <w:bottom w:val="single" w:sz="4" w:space="0" w:color="auto"/>
              <w:right w:val="nil"/>
            </w:tcBorders>
            <w:noWrap/>
            <w:vAlign w:val="bottom"/>
            <w:hideMark/>
          </w:tcPr>
          <w:p w:rsidR="00C13236" w:rsidRPr="0067794B" w:rsidRDefault="00C13236" w:rsidP="000439C1">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3.784</w:t>
            </w:r>
          </w:p>
        </w:tc>
        <w:tc>
          <w:tcPr>
            <w:tcW w:w="388" w:type="pct"/>
            <w:tcBorders>
              <w:top w:val="single" w:sz="4" w:space="0" w:color="auto"/>
              <w:left w:val="nil"/>
              <w:bottom w:val="single" w:sz="4" w:space="0" w:color="auto"/>
              <w:right w:val="nil"/>
            </w:tcBorders>
            <w:noWrap/>
            <w:vAlign w:val="bottom"/>
            <w:hideMark/>
          </w:tcPr>
          <w:p w:rsidR="00C13236" w:rsidRPr="0067794B" w:rsidRDefault="00C13236" w:rsidP="000439C1">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1.168</w:t>
            </w:r>
          </w:p>
        </w:tc>
      </w:tr>
    </w:tbl>
    <w:p w:rsidR="00C13236" w:rsidRPr="0067794B" w:rsidRDefault="00C13236" w:rsidP="00C13236">
      <w:pPr>
        <w:rPr>
          <w:rFonts w:ascii="Times New Roman" w:hAnsi="Times New Roman" w:cs="Times New Roman"/>
          <w:sz w:val="24"/>
          <w:szCs w:val="24"/>
        </w:rPr>
      </w:pPr>
    </w:p>
    <w:p w:rsidR="00C13236" w:rsidRPr="0067794B" w:rsidRDefault="00C13236" w:rsidP="00C13236">
      <w:pPr>
        <w:pStyle w:val="Heading3"/>
        <w:jc w:val="both"/>
        <w:rPr>
          <w:rFonts w:eastAsiaTheme="minorHAnsi" w:cs="Times New Roman"/>
        </w:rPr>
      </w:pPr>
      <w:r w:rsidRPr="0067794B">
        <w:rPr>
          <w:rFonts w:eastAsiaTheme="minorHAnsi" w:cs="Times New Roman"/>
        </w:rPr>
        <w:t xml:space="preserve">4.6.3 </w:t>
      </w:r>
      <w:r>
        <w:rPr>
          <w:rFonts w:cs="Times New Roman"/>
        </w:rPr>
        <w:t>Technical capacity</w:t>
      </w:r>
    </w:p>
    <w:p w:rsidR="00C13236" w:rsidRPr="0067794B" w:rsidRDefault="00C13236" w:rsidP="00C13236">
      <w:pPr>
        <w:rPr>
          <w:rFonts w:ascii="Times New Roman" w:hAnsi="Times New Roman" w:cs="Times New Roman"/>
          <w:sz w:val="24"/>
          <w:szCs w:val="24"/>
        </w:rPr>
      </w:pP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The study sought to establish how the Teachers’ ICT capacity on academic performance. The responses were rated on a </w:t>
      </w:r>
      <w:proofErr w:type="spellStart"/>
      <w:r w:rsidRPr="0067794B">
        <w:rPr>
          <w:rFonts w:ascii="Times New Roman" w:hAnsi="Times New Roman" w:cs="Times New Roman"/>
          <w:sz w:val="24"/>
          <w:szCs w:val="24"/>
        </w:rPr>
        <w:t>Likert</w:t>
      </w:r>
      <w:proofErr w:type="spellEnd"/>
      <w:r w:rsidRPr="0067794B">
        <w:rPr>
          <w:rFonts w:ascii="Times New Roman" w:hAnsi="Times New Roman" w:cs="Times New Roman"/>
          <w:sz w:val="24"/>
          <w:szCs w:val="24"/>
        </w:rPr>
        <w:t xml:space="preserve"> scale and the results are as presented in t</w:t>
      </w:r>
      <w:r>
        <w:rPr>
          <w:rFonts w:ascii="Times New Roman" w:hAnsi="Times New Roman" w:cs="Times New Roman"/>
          <w:sz w:val="24"/>
          <w:szCs w:val="24"/>
        </w:rPr>
        <w:t>able 4.12. The study results that s</w:t>
      </w:r>
      <w:r w:rsidRPr="009B6A0E">
        <w:rPr>
          <w:rFonts w:ascii="Times New Roman" w:hAnsi="Times New Roman" w:cs="Times New Roman"/>
          <w:sz w:val="24"/>
          <w:szCs w:val="24"/>
        </w:rPr>
        <w:t>takeholders</w:t>
      </w:r>
      <w:r>
        <w:rPr>
          <w:rFonts w:ascii="Times New Roman" w:hAnsi="Times New Roman" w:cs="Times New Roman"/>
          <w:sz w:val="24"/>
          <w:szCs w:val="24"/>
        </w:rPr>
        <w:t xml:space="preserve"> </w:t>
      </w:r>
      <w:r w:rsidRPr="009B6A0E">
        <w:rPr>
          <w:rFonts w:ascii="Times New Roman" w:hAnsi="Times New Roman" w:cs="Times New Roman"/>
          <w:sz w:val="24"/>
          <w:szCs w:val="24"/>
        </w:rPr>
        <w:t>involved in the implementati</w:t>
      </w:r>
      <w:r>
        <w:rPr>
          <w:rFonts w:ascii="Times New Roman" w:hAnsi="Times New Roman" w:cs="Times New Roman"/>
          <w:sz w:val="24"/>
          <w:szCs w:val="24"/>
        </w:rPr>
        <w:t xml:space="preserve">on of infrastructural projects </w:t>
      </w:r>
      <w:r w:rsidRPr="009B6A0E">
        <w:rPr>
          <w:rFonts w:ascii="Times New Roman" w:hAnsi="Times New Roman" w:cs="Times New Roman"/>
          <w:sz w:val="24"/>
          <w:szCs w:val="24"/>
        </w:rPr>
        <w:t>required expertise in their domain</w:t>
      </w:r>
      <w:r w:rsidRPr="0067794B">
        <w:rPr>
          <w:rFonts w:ascii="Times New Roman" w:hAnsi="Times New Roman" w:cs="Times New Roman"/>
          <w:sz w:val="24"/>
          <w:szCs w:val="24"/>
        </w:rPr>
        <w:t xml:space="preserve"> had about 29% of the respondents just agreeing with this statement whereas 23% strongly agreed with the same. Only 17% disagreed with that fact. The mean of 3.5 implies that most of the re</w:t>
      </w:r>
      <w:r>
        <w:rPr>
          <w:rFonts w:ascii="Times New Roman" w:hAnsi="Times New Roman" w:cs="Times New Roman"/>
          <w:sz w:val="24"/>
          <w:szCs w:val="24"/>
        </w:rPr>
        <w:t>spondents just agreed with this</w:t>
      </w:r>
      <w:r w:rsidRPr="0067794B">
        <w:rPr>
          <w:rFonts w:ascii="Times New Roman" w:hAnsi="Times New Roman" w:cs="Times New Roman"/>
          <w:sz w:val="24"/>
          <w:szCs w:val="24"/>
        </w:rPr>
        <w:t xml:space="preserve"> statement. Also the standard deviation of 1.2 showed that there was some variation. Similarly, the majority of the respondents, 40%, supported the fact that teachers used the internet materials for teaching and learning. The mean was 3.2 while the standard deviation was 1.2. The study also established that the most (that is 63%) of the respondents concurred </w:t>
      </w:r>
      <w:r>
        <w:rPr>
          <w:rFonts w:ascii="Times New Roman" w:hAnsi="Times New Roman" w:cs="Times New Roman"/>
          <w:sz w:val="24"/>
          <w:szCs w:val="24"/>
        </w:rPr>
        <w:t>with the fact that t</w:t>
      </w:r>
      <w:r w:rsidRPr="009B6A0E">
        <w:rPr>
          <w:rFonts w:ascii="Times New Roman" w:hAnsi="Times New Roman" w:cs="Times New Roman"/>
          <w:sz w:val="24"/>
          <w:szCs w:val="24"/>
        </w:rPr>
        <w:t>raining encompasse</w:t>
      </w:r>
      <w:r>
        <w:rPr>
          <w:rFonts w:ascii="Times New Roman" w:hAnsi="Times New Roman" w:cs="Times New Roman"/>
          <w:sz w:val="24"/>
          <w:szCs w:val="24"/>
        </w:rPr>
        <w:t>d</w:t>
      </w:r>
      <w:r w:rsidRPr="009B6A0E">
        <w:rPr>
          <w:rFonts w:ascii="Times New Roman" w:hAnsi="Times New Roman" w:cs="Times New Roman"/>
          <w:sz w:val="24"/>
          <w:szCs w:val="24"/>
        </w:rPr>
        <w:t xml:space="preserve"> all aspects of project ma</w:t>
      </w:r>
      <w:r>
        <w:rPr>
          <w:rFonts w:ascii="Times New Roman" w:hAnsi="Times New Roman" w:cs="Times New Roman"/>
          <w:sz w:val="24"/>
          <w:szCs w:val="24"/>
        </w:rPr>
        <w:t xml:space="preserve">nagement process which </w:t>
      </w:r>
      <w:r w:rsidRPr="009B6A0E">
        <w:rPr>
          <w:rFonts w:ascii="Times New Roman" w:hAnsi="Times New Roman" w:cs="Times New Roman"/>
          <w:sz w:val="24"/>
          <w:szCs w:val="24"/>
        </w:rPr>
        <w:t>enhanced decision capabilities of stakeholders involved in the management of infrastructural projects</w:t>
      </w:r>
      <w:r w:rsidRPr="0067794B">
        <w:rPr>
          <w:rFonts w:ascii="Times New Roman" w:hAnsi="Times New Roman" w:cs="Times New Roman"/>
          <w:sz w:val="24"/>
          <w:szCs w:val="24"/>
        </w:rPr>
        <w:t xml:space="preserve">. Their mean was also 3.4 while the standard deviation was 1.2 indicating variation in responses. </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lastRenderedPageBreak/>
        <w:t xml:space="preserve">On the other hand, the study established that the majority, 83% of the respondents concurred that </w:t>
      </w:r>
      <w:r>
        <w:rPr>
          <w:rFonts w:ascii="Times New Roman" w:hAnsi="Times New Roman" w:cs="Times New Roman"/>
          <w:sz w:val="24"/>
          <w:szCs w:val="24"/>
        </w:rPr>
        <w:t>the s</w:t>
      </w:r>
      <w:r w:rsidRPr="009B6A0E">
        <w:rPr>
          <w:rFonts w:ascii="Times New Roman" w:hAnsi="Times New Roman" w:cs="Times New Roman"/>
          <w:sz w:val="24"/>
          <w:szCs w:val="24"/>
        </w:rPr>
        <w:t xml:space="preserve">takeholders </w:t>
      </w:r>
      <w:r>
        <w:rPr>
          <w:rFonts w:ascii="Times New Roman" w:hAnsi="Times New Roman" w:cs="Times New Roman"/>
          <w:sz w:val="24"/>
          <w:szCs w:val="24"/>
        </w:rPr>
        <w:t>were</w:t>
      </w:r>
      <w:r w:rsidRPr="009B6A0E">
        <w:rPr>
          <w:rFonts w:ascii="Times New Roman" w:hAnsi="Times New Roman" w:cs="Times New Roman"/>
          <w:sz w:val="24"/>
          <w:szCs w:val="24"/>
        </w:rPr>
        <w:t xml:space="preserve"> equipped with prerequisite training, skills and approaches to adequately monitor and report the project’s status and progress</w:t>
      </w:r>
      <w:r w:rsidRPr="0067794B">
        <w:rPr>
          <w:rFonts w:ascii="Times New Roman" w:hAnsi="Times New Roman" w:cs="Times New Roman"/>
          <w:sz w:val="24"/>
          <w:szCs w:val="24"/>
        </w:rPr>
        <w:t xml:space="preserve"> and their mean was 4.23 while the standard deviation was 1.1indicating variation in responses. About 26% and 23%, of the respondents just agreed and strongly agreed respectively with the fact that </w:t>
      </w:r>
      <w:r>
        <w:rPr>
          <w:rFonts w:ascii="Times New Roman" w:hAnsi="Times New Roman" w:cs="Times New Roman"/>
          <w:sz w:val="24"/>
          <w:szCs w:val="24"/>
        </w:rPr>
        <w:t>r</w:t>
      </w:r>
      <w:r w:rsidRPr="009B6A0E">
        <w:rPr>
          <w:rFonts w:ascii="Times New Roman" w:hAnsi="Times New Roman" w:cs="Times New Roman"/>
          <w:sz w:val="24"/>
          <w:szCs w:val="24"/>
        </w:rPr>
        <w:t xml:space="preserve">esponsibilities in the management of infrastructural projects </w:t>
      </w:r>
      <w:r>
        <w:rPr>
          <w:rFonts w:ascii="Times New Roman" w:hAnsi="Times New Roman" w:cs="Times New Roman"/>
          <w:sz w:val="24"/>
          <w:szCs w:val="24"/>
        </w:rPr>
        <w:t>was</w:t>
      </w:r>
      <w:r w:rsidRPr="009B6A0E">
        <w:rPr>
          <w:rFonts w:ascii="Times New Roman" w:hAnsi="Times New Roman" w:cs="Times New Roman"/>
          <w:sz w:val="24"/>
          <w:szCs w:val="24"/>
        </w:rPr>
        <w:t xml:space="preserve"> distributed according</w:t>
      </w:r>
      <w:r>
        <w:rPr>
          <w:rFonts w:ascii="Times New Roman" w:hAnsi="Times New Roman" w:cs="Times New Roman"/>
          <w:sz w:val="24"/>
          <w:szCs w:val="24"/>
        </w:rPr>
        <w:t xml:space="preserve"> to</w:t>
      </w:r>
      <w:r w:rsidRPr="009B6A0E">
        <w:rPr>
          <w:rFonts w:ascii="Times New Roman" w:hAnsi="Times New Roman" w:cs="Times New Roman"/>
          <w:sz w:val="24"/>
          <w:szCs w:val="24"/>
        </w:rPr>
        <w:t xml:space="preserve"> academic qualification and knowledge in specific area of specialization</w:t>
      </w:r>
      <w:r w:rsidRPr="0067794B">
        <w:rPr>
          <w:rFonts w:ascii="Times New Roman" w:hAnsi="Times New Roman" w:cs="Times New Roman"/>
          <w:sz w:val="24"/>
          <w:szCs w:val="24"/>
        </w:rPr>
        <w:t>. Only 11.8% disagreed with that statement. This made the mean for the statement to be 3.5 with a standard deviation 1.1 indicating some variation in responses.</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Lastly, the majority of the respondents, </w:t>
      </w:r>
      <w:r>
        <w:rPr>
          <w:rFonts w:ascii="Times New Roman" w:hAnsi="Times New Roman" w:cs="Times New Roman"/>
          <w:sz w:val="24"/>
          <w:szCs w:val="24"/>
        </w:rPr>
        <w:t>58</w:t>
      </w:r>
      <w:r w:rsidRPr="0067794B">
        <w:rPr>
          <w:rFonts w:ascii="Times New Roman" w:hAnsi="Times New Roman" w:cs="Times New Roman"/>
          <w:sz w:val="24"/>
          <w:szCs w:val="24"/>
        </w:rPr>
        <w:t xml:space="preserve">%, supported the fact that </w:t>
      </w:r>
      <w:r>
        <w:rPr>
          <w:rFonts w:ascii="Times New Roman" w:hAnsi="Times New Roman" w:cs="Times New Roman"/>
          <w:sz w:val="24"/>
          <w:szCs w:val="24"/>
        </w:rPr>
        <w:t>there was</w:t>
      </w:r>
      <w:r w:rsidRPr="009B6A0E">
        <w:rPr>
          <w:rFonts w:ascii="Times New Roman" w:hAnsi="Times New Roman" w:cs="Times New Roman"/>
          <w:sz w:val="24"/>
          <w:szCs w:val="24"/>
        </w:rPr>
        <w:t xml:space="preserve"> sufficient technical capacity amongst human resources to effectively manage infrastructural projects</w:t>
      </w:r>
      <w:r w:rsidRPr="0067794B">
        <w:rPr>
          <w:rFonts w:ascii="Times New Roman" w:hAnsi="Times New Roman" w:cs="Times New Roman"/>
          <w:sz w:val="24"/>
          <w:szCs w:val="24"/>
        </w:rPr>
        <w:t xml:space="preserve">. The mean </w:t>
      </w:r>
      <w:r>
        <w:rPr>
          <w:rFonts w:ascii="Times New Roman" w:hAnsi="Times New Roman" w:cs="Times New Roman"/>
          <w:sz w:val="24"/>
          <w:szCs w:val="24"/>
        </w:rPr>
        <w:t xml:space="preserve">was </w:t>
      </w:r>
      <w:r w:rsidRPr="0067794B">
        <w:rPr>
          <w:rFonts w:ascii="Times New Roman" w:hAnsi="Times New Roman" w:cs="Times New Roman"/>
          <w:sz w:val="24"/>
          <w:szCs w:val="24"/>
        </w:rPr>
        <w:t>3.8 while the standard deviation was 1.09. The overall mean for</w:t>
      </w:r>
      <w:r>
        <w:rPr>
          <w:rFonts w:ascii="Times New Roman" w:hAnsi="Times New Roman" w:cs="Times New Roman"/>
          <w:sz w:val="24"/>
          <w:szCs w:val="24"/>
        </w:rPr>
        <w:t xml:space="preserve"> the structural variable was 3.7</w:t>
      </w:r>
      <w:r w:rsidRPr="0067794B">
        <w:rPr>
          <w:rFonts w:ascii="Times New Roman" w:hAnsi="Times New Roman" w:cs="Times New Roman"/>
          <w:sz w:val="24"/>
          <w:szCs w:val="24"/>
        </w:rPr>
        <w:t>, indicating that majority of the respondents just agreed with the statements</w:t>
      </w:r>
      <w:r>
        <w:rPr>
          <w:rFonts w:ascii="Times New Roman" w:hAnsi="Times New Roman" w:cs="Times New Roman"/>
          <w:sz w:val="24"/>
          <w:szCs w:val="24"/>
        </w:rPr>
        <w:t>. The standard deviation was 1.1</w:t>
      </w:r>
      <w:r w:rsidRPr="0067794B">
        <w:rPr>
          <w:rFonts w:ascii="Times New Roman" w:hAnsi="Times New Roman" w:cs="Times New Roman"/>
          <w:sz w:val="24"/>
          <w:szCs w:val="24"/>
        </w:rPr>
        <w:t>, indicating that there was some variation in all of the responses.</w:t>
      </w:r>
    </w:p>
    <w:p w:rsidR="00C13236" w:rsidRPr="0067794B" w:rsidRDefault="00C13236" w:rsidP="00C13236">
      <w:pPr>
        <w:spacing w:after="120" w:line="360" w:lineRule="auto"/>
        <w:jc w:val="both"/>
        <w:rPr>
          <w:rFonts w:ascii="Times New Roman" w:hAnsi="Times New Roman" w:cs="Times New Roman"/>
          <w:b/>
          <w:bCs/>
          <w:spacing w:val="-3"/>
          <w:position w:val="-1"/>
          <w:sz w:val="24"/>
          <w:szCs w:val="24"/>
        </w:rPr>
      </w:pPr>
      <w:r w:rsidRPr="0067794B">
        <w:rPr>
          <w:rFonts w:ascii="Times New Roman" w:hAnsi="Times New Roman" w:cs="Times New Roman"/>
          <w:b/>
          <w:bCs/>
          <w:spacing w:val="-3"/>
          <w:position w:val="-1"/>
          <w:sz w:val="24"/>
          <w:szCs w:val="24"/>
        </w:rPr>
        <w:t>Table 4.</w:t>
      </w:r>
      <w:r>
        <w:rPr>
          <w:rFonts w:ascii="Times New Roman" w:hAnsi="Times New Roman" w:cs="Times New Roman"/>
          <w:b/>
          <w:bCs/>
          <w:spacing w:val="-3"/>
          <w:position w:val="-1"/>
          <w:sz w:val="24"/>
          <w:szCs w:val="24"/>
        </w:rPr>
        <w:t>9</w:t>
      </w:r>
      <w:r w:rsidRPr="0067794B">
        <w:rPr>
          <w:rFonts w:ascii="Times New Roman" w:hAnsi="Times New Roman" w:cs="Times New Roman"/>
          <w:b/>
          <w:bCs/>
          <w:spacing w:val="-3"/>
          <w:position w:val="-1"/>
          <w:sz w:val="24"/>
          <w:szCs w:val="24"/>
        </w:rPr>
        <w:t xml:space="preserve">: </w:t>
      </w:r>
      <w:r w:rsidRPr="001B43BC">
        <w:rPr>
          <w:rFonts w:ascii="Times New Roman" w:hAnsi="Times New Roman" w:cs="Times New Roman"/>
          <w:b/>
          <w:bCs/>
          <w:spacing w:val="-3"/>
          <w:position w:val="-1"/>
          <w:sz w:val="24"/>
          <w:szCs w:val="24"/>
        </w:rPr>
        <w:t>Technical capacity</w:t>
      </w:r>
    </w:p>
    <w:tbl>
      <w:tblPr>
        <w:tblW w:w="5104" w:type="pct"/>
        <w:tblBorders>
          <w:top w:val="single" w:sz="4" w:space="0" w:color="auto"/>
          <w:bottom w:val="single" w:sz="4" w:space="0" w:color="auto"/>
        </w:tblBorders>
        <w:tblLayout w:type="fixed"/>
        <w:tblLook w:val="04A0" w:firstRow="1" w:lastRow="0" w:firstColumn="1" w:lastColumn="0" w:noHBand="0" w:noVBand="1"/>
      </w:tblPr>
      <w:tblGrid>
        <w:gridCol w:w="4121"/>
        <w:gridCol w:w="829"/>
        <w:gridCol w:w="691"/>
        <w:gridCol w:w="693"/>
        <w:gridCol w:w="693"/>
        <w:gridCol w:w="691"/>
        <w:gridCol w:w="744"/>
        <w:gridCol w:w="752"/>
      </w:tblGrid>
      <w:tr w:rsidR="00C13236" w:rsidRPr="0067794B" w:rsidTr="000439C1">
        <w:trPr>
          <w:trHeight w:val="479"/>
        </w:trPr>
        <w:tc>
          <w:tcPr>
            <w:tcW w:w="2236" w:type="pct"/>
            <w:tcBorders>
              <w:top w:val="single" w:sz="4" w:space="0" w:color="auto"/>
              <w:left w:val="nil"/>
              <w:bottom w:val="nil"/>
              <w:right w:val="nil"/>
            </w:tcBorders>
            <w:noWrap/>
          </w:tcPr>
          <w:p w:rsidR="00C13236" w:rsidRPr="0067794B" w:rsidRDefault="00C13236" w:rsidP="000439C1">
            <w:pPr>
              <w:spacing w:after="0" w:line="240" w:lineRule="auto"/>
              <w:jc w:val="both"/>
              <w:rPr>
                <w:rFonts w:ascii="Times New Roman" w:hAnsi="Times New Roman" w:cs="Times New Roman"/>
                <w:sz w:val="20"/>
                <w:szCs w:val="20"/>
              </w:rPr>
            </w:pPr>
          </w:p>
          <w:p w:rsidR="00C13236" w:rsidRPr="0067794B" w:rsidRDefault="00C13236" w:rsidP="000439C1">
            <w:pPr>
              <w:spacing w:after="0" w:line="240" w:lineRule="auto"/>
              <w:jc w:val="both"/>
              <w:rPr>
                <w:rFonts w:ascii="Times New Roman" w:hAnsi="Times New Roman" w:cs="Times New Roman"/>
                <w:sz w:val="20"/>
                <w:szCs w:val="20"/>
              </w:rPr>
            </w:pPr>
            <w:r w:rsidRPr="0067794B">
              <w:rPr>
                <w:rFonts w:ascii="Times New Roman" w:hAnsi="Times New Roman" w:cs="Times New Roman"/>
                <w:sz w:val="20"/>
                <w:szCs w:val="20"/>
              </w:rPr>
              <w:t>Statement</w:t>
            </w:r>
          </w:p>
        </w:tc>
        <w:tc>
          <w:tcPr>
            <w:tcW w:w="2764" w:type="pct"/>
            <w:gridSpan w:val="7"/>
            <w:tcBorders>
              <w:top w:val="single" w:sz="4" w:space="0" w:color="auto"/>
              <w:left w:val="nil"/>
              <w:bottom w:val="nil"/>
              <w:right w:val="nil"/>
            </w:tcBorders>
            <w:noWrap/>
            <w:hideMark/>
          </w:tcPr>
          <w:p w:rsidR="00C13236" w:rsidRPr="0067794B" w:rsidRDefault="00C13236" w:rsidP="000439C1">
            <w:pPr>
              <w:spacing w:after="0" w:line="240" w:lineRule="auto"/>
              <w:jc w:val="both"/>
              <w:rPr>
                <w:rFonts w:ascii="Times New Roman" w:hAnsi="Times New Roman" w:cs="Times New Roman"/>
                <w:sz w:val="20"/>
                <w:szCs w:val="20"/>
              </w:rPr>
            </w:pPr>
            <w:r w:rsidRPr="0067794B">
              <w:rPr>
                <w:rFonts w:ascii="Times New Roman" w:hAnsi="Times New Roman" w:cs="Times New Roman"/>
                <w:sz w:val="20"/>
                <w:szCs w:val="20"/>
              </w:rPr>
              <w:t>Percentage (%)</w:t>
            </w:r>
          </w:p>
        </w:tc>
      </w:tr>
      <w:tr w:rsidR="00C13236" w:rsidRPr="0067794B" w:rsidTr="000439C1">
        <w:trPr>
          <w:trHeight w:val="479"/>
        </w:trPr>
        <w:tc>
          <w:tcPr>
            <w:tcW w:w="223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p>
        </w:tc>
        <w:tc>
          <w:tcPr>
            <w:tcW w:w="450"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SD</w:t>
            </w:r>
          </w:p>
        </w:tc>
        <w:tc>
          <w:tcPr>
            <w:tcW w:w="375"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D</w:t>
            </w:r>
          </w:p>
        </w:tc>
        <w:tc>
          <w:tcPr>
            <w:tcW w:w="37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N</w:t>
            </w:r>
          </w:p>
        </w:tc>
        <w:tc>
          <w:tcPr>
            <w:tcW w:w="37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A</w:t>
            </w:r>
          </w:p>
        </w:tc>
        <w:tc>
          <w:tcPr>
            <w:tcW w:w="375"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SA</w:t>
            </w:r>
          </w:p>
        </w:tc>
        <w:tc>
          <w:tcPr>
            <w:tcW w:w="404"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Mean</w:t>
            </w:r>
          </w:p>
        </w:tc>
        <w:tc>
          <w:tcPr>
            <w:tcW w:w="408"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eastAsia="Times New Roman" w:hAnsi="Times New Roman" w:cs="Times New Roman"/>
                <w:b/>
                <w:bCs/>
                <w:color w:val="000000"/>
                <w:sz w:val="20"/>
                <w:szCs w:val="20"/>
              </w:rPr>
              <w:t>STD</w:t>
            </w:r>
          </w:p>
        </w:tc>
      </w:tr>
      <w:tr w:rsidR="00C13236" w:rsidRPr="0067794B" w:rsidTr="000439C1">
        <w:trPr>
          <w:trHeight w:val="479"/>
        </w:trPr>
        <w:tc>
          <w:tcPr>
            <w:tcW w:w="2236" w:type="pct"/>
            <w:tcBorders>
              <w:top w:val="single" w:sz="4" w:space="0" w:color="auto"/>
              <w:left w:val="nil"/>
              <w:bottom w:val="nil"/>
              <w:right w:val="nil"/>
            </w:tcBorders>
            <w:noWrap/>
            <w:hideMark/>
          </w:tcPr>
          <w:p w:rsidR="00C13236" w:rsidRPr="009B6A0E" w:rsidRDefault="00C13236" w:rsidP="000439C1">
            <w:pPr>
              <w:spacing w:after="0" w:line="240" w:lineRule="auto"/>
              <w:rPr>
                <w:rFonts w:ascii="Times New Roman" w:hAnsi="Times New Roman" w:cs="Times New Roman"/>
                <w:color w:val="FF0000"/>
                <w:sz w:val="24"/>
                <w:szCs w:val="24"/>
              </w:rPr>
            </w:pPr>
            <w:r w:rsidRPr="009B6A0E">
              <w:rPr>
                <w:rFonts w:ascii="Times New Roman" w:hAnsi="Times New Roman" w:cs="Times New Roman"/>
                <w:sz w:val="24"/>
                <w:szCs w:val="24"/>
              </w:rPr>
              <w:t xml:space="preserve">Stakeholders involved in the implementation of  infrastructural projects have required expertise in their domain </w:t>
            </w:r>
          </w:p>
        </w:tc>
        <w:tc>
          <w:tcPr>
            <w:tcW w:w="45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7.98</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9.24</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31.09</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28.57</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23.11</w:t>
            </w:r>
          </w:p>
        </w:tc>
        <w:tc>
          <w:tcPr>
            <w:tcW w:w="40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3.496</w:t>
            </w:r>
          </w:p>
        </w:tc>
        <w:tc>
          <w:tcPr>
            <w:tcW w:w="408"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1.176</w:t>
            </w:r>
          </w:p>
        </w:tc>
      </w:tr>
      <w:tr w:rsidR="00C13236" w:rsidRPr="0067794B" w:rsidTr="000439C1">
        <w:trPr>
          <w:trHeight w:val="502"/>
        </w:trPr>
        <w:tc>
          <w:tcPr>
            <w:tcW w:w="2236"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Training encompasses all aspects of project management process which has enhanced decision capabilities of stakeholders involved in the management of infrastructural projects</w:t>
            </w:r>
          </w:p>
        </w:tc>
        <w:tc>
          <w:tcPr>
            <w:tcW w:w="45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7.14</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21.85</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8.4</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46.22</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16.39</w:t>
            </w:r>
          </w:p>
        </w:tc>
        <w:tc>
          <w:tcPr>
            <w:tcW w:w="40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3.429</w:t>
            </w:r>
          </w:p>
        </w:tc>
        <w:tc>
          <w:tcPr>
            <w:tcW w:w="408"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1.202</w:t>
            </w:r>
          </w:p>
        </w:tc>
      </w:tr>
      <w:tr w:rsidR="00C13236" w:rsidRPr="0067794B" w:rsidTr="000439C1">
        <w:trPr>
          <w:trHeight w:val="502"/>
        </w:trPr>
        <w:tc>
          <w:tcPr>
            <w:tcW w:w="2236"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Stakeholders are equipped with prerequisite training, skills and approaches to adequately monitor and report the project’s status and progress</w:t>
            </w:r>
          </w:p>
        </w:tc>
        <w:tc>
          <w:tcPr>
            <w:tcW w:w="45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5.04</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2.1</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10.08</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30.25</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52.52</w:t>
            </w:r>
          </w:p>
        </w:tc>
        <w:tc>
          <w:tcPr>
            <w:tcW w:w="40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4.231</w:t>
            </w:r>
          </w:p>
        </w:tc>
        <w:tc>
          <w:tcPr>
            <w:tcW w:w="408"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1.056</w:t>
            </w:r>
          </w:p>
        </w:tc>
      </w:tr>
      <w:tr w:rsidR="00C13236" w:rsidRPr="0067794B" w:rsidTr="000439C1">
        <w:trPr>
          <w:trHeight w:val="502"/>
        </w:trPr>
        <w:tc>
          <w:tcPr>
            <w:tcW w:w="2236"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Responsibilities in the management of infrastructural projects is distributed according</w:t>
            </w:r>
            <w:r>
              <w:rPr>
                <w:rFonts w:ascii="Times New Roman" w:hAnsi="Times New Roman" w:cs="Times New Roman"/>
                <w:sz w:val="24"/>
                <w:szCs w:val="24"/>
              </w:rPr>
              <w:t xml:space="preserve"> to</w:t>
            </w:r>
            <w:r w:rsidRPr="009B6A0E">
              <w:rPr>
                <w:rFonts w:ascii="Times New Roman" w:hAnsi="Times New Roman" w:cs="Times New Roman"/>
                <w:sz w:val="24"/>
                <w:szCs w:val="24"/>
              </w:rPr>
              <w:t xml:space="preserve"> academic qualification and knowledge in specific area of specialization</w:t>
            </w:r>
          </w:p>
        </w:tc>
        <w:tc>
          <w:tcPr>
            <w:tcW w:w="45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6.3</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5.46</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39.08</w:t>
            </w:r>
          </w:p>
        </w:tc>
        <w:tc>
          <w:tcPr>
            <w:tcW w:w="37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26.05</w:t>
            </w:r>
          </w:p>
        </w:tc>
        <w:tc>
          <w:tcPr>
            <w:tcW w:w="375"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23.11</w:t>
            </w:r>
          </w:p>
        </w:tc>
        <w:tc>
          <w:tcPr>
            <w:tcW w:w="40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3.542</w:t>
            </w:r>
          </w:p>
        </w:tc>
        <w:tc>
          <w:tcPr>
            <w:tcW w:w="408"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1.097</w:t>
            </w:r>
          </w:p>
        </w:tc>
      </w:tr>
      <w:tr w:rsidR="00C13236" w:rsidRPr="0067794B" w:rsidTr="000439C1">
        <w:trPr>
          <w:trHeight w:val="502"/>
        </w:trPr>
        <w:tc>
          <w:tcPr>
            <w:tcW w:w="2236" w:type="pct"/>
            <w:tcBorders>
              <w:top w:val="nil"/>
              <w:left w:val="nil"/>
              <w:bottom w:val="single" w:sz="4" w:space="0" w:color="auto"/>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There is sufficient technical capacity amongst human resources to effectively manage infrastructural projects</w:t>
            </w:r>
          </w:p>
        </w:tc>
        <w:tc>
          <w:tcPr>
            <w:tcW w:w="450"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5.04</w:t>
            </w:r>
          </w:p>
        </w:tc>
        <w:tc>
          <w:tcPr>
            <w:tcW w:w="375"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8.4</w:t>
            </w:r>
          </w:p>
        </w:tc>
        <w:tc>
          <w:tcPr>
            <w:tcW w:w="376"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14.71</w:t>
            </w:r>
          </w:p>
        </w:tc>
        <w:tc>
          <w:tcPr>
            <w:tcW w:w="376"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43.7</w:t>
            </w:r>
          </w:p>
        </w:tc>
        <w:tc>
          <w:tcPr>
            <w:tcW w:w="375"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28.15</w:t>
            </w:r>
          </w:p>
        </w:tc>
        <w:tc>
          <w:tcPr>
            <w:tcW w:w="404"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3.815</w:t>
            </w:r>
          </w:p>
        </w:tc>
        <w:tc>
          <w:tcPr>
            <w:tcW w:w="408"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1.091</w:t>
            </w:r>
          </w:p>
        </w:tc>
      </w:tr>
      <w:tr w:rsidR="00C13236" w:rsidRPr="0067794B" w:rsidTr="000439C1">
        <w:trPr>
          <w:trHeight w:val="513"/>
        </w:trPr>
        <w:tc>
          <w:tcPr>
            <w:tcW w:w="2236"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Overall Mean</w:t>
            </w:r>
          </w:p>
        </w:tc>
        <w:tc>
          <w:tcPr>
            <w:tcW w:w="450"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75"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76"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76"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75"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404" w:type="pct"/>
            <w:tcBorders>
              <w:top w:val="single" w:sz="4" w:space="0" w:color="auto"/>
              <w:left w:val="nil"/>
              <w:bottom w:val="single" w:sz="4" w:space="0" w:color="auto"/>
              <w:right w:val="nil"/>
            </w:tcBorders>
            <w:noWrap/>
            <w:vAlign w:val="bottom"/>
            <w:hideMark/>
          </w:tcPr>
          <w:p w:rsidR="00C13236" w:rsidRPr="0067794B" w:rsidRDefault="00C13236" w:rsidP="000439C1">
            <w:pPr>
              <w:jc w:val="both"/>
              <w:rPr>
                <w:rFonts w:ascii="Times New Roman" w:hAnsi="Times New Roman" w:cs="Times New Roman"/>
                <w:b/>
                <w:color w:val="000000"/>
                <w:sz w:val="20"/>
                <w:szCs w:val="20"/>
              </w:rPr>
            </w:pPr>
            <w:r w:rsidRPr="00D56468">
              <w:rPr>
                <w:rFonts w:ascii="Times New Roman" w:hAnsi="Times New Roman" w:cs="Times New Roman"/>
                <w:b/>
                <w:color w:val="000000"/>
                <w:sz w:val="20"/>
                <w:szCs w:val="20"/>
              </w:rPr>
              <w:t>3.702</w:t>
            </w:r>
          </w:p>
        </w:tc>
        <w:tc>
          <w:tcPr>
            <w:tcW w:w="408" w:type="pct"/>
            <w:tcBorders>
              <w:top w:val="single" w:sz="4" w:space="0" w:color="auto"/>
              <w:left w:val="nil"/>
              <w:bottom w:val="single" w:sz="4" w:space="0" w:color="auto"/>
              <w:right w:val="nil"/>
            </w:tcBorders>
            <w:noWrap/>
            <w:vAlign w:val="bottom"/>
            <w:hideMark/>
          </w:tcPr>
          <w:p w:rsidR="00C13236" w:rsidRPr="0067794B" w:rsidRDefault="00C13236" w:rsidP="000439C1">
            <w:pPr>
              <w:jc w:val="both"/>
              <w:rPr>
                <w:rFonts w:ascii="Times New Roman" w:hAnsi="Times New Roman" w:cs="Times New Roman"/>
                <w:b/>
                <w:color w:val="000000"/>
                <w:sz w:val="20"/>
                <w:szCs w:val="20"/>
              </w:rPr>
            </w:pPr>
            <w:r w:rsidRPr="00901187">
              <w:rPr>
                <w:rFonts w:ascii="Times New Roman" w:hAnsi="Times New Roman" w:cs="Times New Roman"/>
                <w:b/>
                <w:color w:val="000000"/>
                <w:sz w:val="20"/>
                <w:szCs w:val="20"/>
              </w:rPr>
              <w:t>1.124</w:t>
            </w:r>
          </w:p>
        </w:tc>
      </w:tr>
    </w:tbl>
    <w:p w:rsidR="00C13236" w:rsidRPr="0067794B" w:rsidRDefault="00C13236" w:rsidP="00C13236">
      <w:pPr>
        <w:rPr>
          <w:rFonts w:ascii="Times New Roman" w:hAnsi="Times New Roman" w:cs="Times New Roman"/>
          <w:sz w:val="24"/>
          <w:szCs w:val="24"/>
        </w:rPr>
      </w:pPr>
    </w:p>
    <w:p w:rsidR="00C13236" w:rsidRDefault="00C13236" w:rsidP="00C13236">
      <w:pPr>
        <w:pStyle w:val="Heading3"/>
        <w:jc w:val="both"/>
        <w:rPr>
          <w:rFonts w:cs="Times New Roman"/>
        </w:rPr>
      </w:pPr>
      <w:r w:rsidRPr="0067794B">
        <w:rPr>
          <w:rFonts w:eastAsia="MS Gothic" w:cs="Times New Roman"/>
        </w:rPr>
        <w:t xml:space="preserve">4.6.4 </w:t>
      </w:r>
      <w:r>
        <w:rPr>
          <w:rFonts w:cs="Times New Roman"/>
        </w:rPr>
        <w:t>Project design variation</w:t>
      </w:r>
    </w:p>
    <w:p w:rsidR="00C13236" w:rsidRPr="001B43BC" w:rsidRDefault="00C13236" w:rsidP="00C13236"/>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The study sought to establish </w:t>
      </w:r>
      <w:r w:rsidRPr="009B6A0E">
        <w:rPr>
          <w:rFonts w:ascii="Times New Roman" w:hAnsi="Times New Roman" w:cs="Times New Roman"/>
          <w:sz w:val="24"/>
          <w:szCs w:val="24"/>
        </w:rPr>
        <w:t>the influence of project design variation on delay of</w:t>
      </w:r>
      <w:r>
        <w:rPr>
          <w:rFonts w:ascii="Times New Roman" w:hAnsi="Times New Roman" w:cs="Times New Roman"/>
          <w:sz w:val="24"/>
          <w:szCs w:val="24"/>
        </w:rPr>
        <w:t xml:space="preserve"> completion </w:t>
      </w:r>
      <w:r w:rsidRPr="009B6A0E">
        <w:rPr>
          <w:rFonts w:ascii="Times New Roman" w:hAnsi="Times New Roman" w:cs="Times New Roman"/>
          <w:sz w:val="24"/>
          <w:szCs w:val="24"/>
        </w:rPr>
        <w:t>infrastructure projects</w:t>
      </w:r>
      <w:r w:rsidRPr="0067794B">
        <w:rPr>
          <w:rFonts w:ascii="Times New Roman" w:hAnsi="Times New Roman" w:cs="Times New Roman"/>
          <w:sz w:val="24"/>
          <w:szCs w:val="24"/>
        </w:rPr>
        <w:t xml:space="preserve">. The responses were rated on a </w:t>
      </w:r>
      <w:proofErr w:type="spellStart"/>
      <w:r w:rsidRPr="0067794B">
        <w:rPr>
          <w:rFonts w:ascii="Times New Roman" w:hAnsi="Times New Roman" w:cs="Times New Roman"/>
          <w:sz w:val="24"/>
          <w:szCs w:val="24"/>
        </w:rPr>
        <w:t>Likert</w:t>
      </w:r>
      <w:proofErr w:type="spellEnd"/>
      <w:r w:rsidRPr="0067794B">
        <w:rPr>
          <w:rFonts w:ascii="Times New Roman" w:hAnsi="Times New Roman" w:cs="Times New Roman"/>
          <w:sz w:val="24"/>
          <w:szCs w:val="24"/>
        </w:rPr>
        <w:t xml:space="preserve"> scale and the results are as presented in table 4.12. The study results </w:t>
      </w:r>
      <w:r>
        <w:rPr>
          <w:rFonts w:ascii="Times New Roman" w:hAnsi="Times New Roman" w:cs="Times New Roman"/>
          <w:sz w:val="24"/>
          <w:szCs w:val="24"/>
        </w:rPr>
        <w:t xml:space="preserve">showed that </w:t>
      </w:r>
      <w:r w:rsidRPr="0067794B">
        <w:rPr>
          <w:rFonts w:ascii="Times New Roman" w:hAnsi="Times New Roman" w:cs="Times New Roman"/>
          <w:sz w:val="24"/>
          <w:szCs w:val="24"/>
        </w:rPr>
        <w:t xml:space="preserve">44% and 22%, of the respondents just agreed and strongly agreed with the </w:t>
      </w:r>
      <w:r>
        <w:rPr>
          <w:rFonts w:ascii="Times New Roman" w:hAnsi="Times New Roman" w:cs="Times New Roman"/>
          <w:sz w:val="24"/>
          <w:szCs w:val="24"/>
        </w:rPr>
        <w:t>a</w:t>
      </w:r>
      <w:r>
        <w:rPr>
          <w:rFonts w:ascii="Times New Roman" w:eastAsia="Times New Roman" w:hAnsi="Times New Roman" w:cs="Times New Roman"/>
          <w:sz w:val="24"/>
          <w:szCs w:val="24"/>
        </w:rPr>
        <w:t>ddition or removal of</w:t>
      </w:r>
      <w:r w:rsidRPr="009B6A0E">
        <w:rPr>
          <w:rFonts w:ascii="Times New Roman" w:eastAsia="Times New Roman" w:hAnsi="Times New Roman" w:cs="Times New Roman"/>
          <w:sz w:val="24"/>
          <w:szCs w:val="24"/>
        </w:rPr>
        <w:t xml:space="preserve"> specific design</w:t>
      </w:r>
      <w:r>
        <w:rPr>
          <w:rFonts w:ascii="Times New Roman" w:eastAsia="Times New Roman" w:hAnsi="Times New Roman" w:cs="Times New Roman"/>
          <w:sz w:val="24"/>
          <w:szCs w:val="24"/>
        </w:rPr>
        <w:t>s</w:t>
      </w:r>
      <w:r w:rsidRPr="009B6A0E">
        <w:rPr>
          <w:rFonts w:ascii="Times New Roman" w:eastAsia="Times New Roman" w:hAnsi="Times New Roman" w:cs="Times New Roman"/>
          <w:sz w:val="24"/>
          <w:szCs w:val="24"/>
        </w:rPr>
        <w:t xml:space="preserve"> that had initially been incorporated in a project influence project completion</w:t>
      </w:r>
      <w:r w:rsidRPr="0067794B">
        <w:rPr>
          <w:rFonts w:ascii="Times New Roman" w:hAnsi="Times New Roman" w:cs="Times New Roman"/>
          <w:sz w:val="24"/>
          <w:szCs w:val="24"/>
        </w:rPr>
        <w:t xml:space="preserve">. Only 25% disagreed with that statement. This made the mean for the statement to be 3.6 with a standard deviation 1.2 indicating some variation in responses. Similarly, the majority of the respondents, 40%, supported the fact that </w:t>
      </w:r>
      <w:r>
        <w:rPr>
          <w:rFonts w:ascii="Times New Roman" w:eastAsia="Times New Roman" w:hAnsi="Times New Roman" w:cs="Times New Roman"/>
          <w:sz w:val="24"/>
          <w:szCs w:val="24"/>
        </w:rPr>
        <w:t>m</w:t>
      </w:r>
      <w:r w:rsidRPr="009B6A0E">
        <w:rPr>
          <w:rFonts w:ascii="Times New Roman" w:eastAsia="Times New Roman" w:hAnsi="Times New Roman" w:cs="Times New Roman"/>
          <w:sz w:val="24"/>
          <w:szCs w:val="24"/>
        </w:rPr>
        <w:t xml:space="preserve">any public infrastructure projects in developing countries </w:t>
      </w:r>
      <w:r>
        <w:rPr>
          <w:rFonts w:ascii="Times New Roman" w:eastAsia="Times New Roman" w:hAnsi="Times New Roman" w:cs="Times New Roman"/>
          <w:sz w:val="24"/>
          <w:szCs w:val="24"/>
        </w:rPr>
        <w:t>incur design variation which had</w:t>
      </w:r>
      <w:r w:rsidRPr="009B6A0E">
        <w:rPr>
          <w:rFonts w:ascii="Times New Roman" w:eastAsia="Times New Roman" w:hAnsi="Times New Roman" w:cs="Times New Roman"/>
          <w:sz w:val="24"/>
          <w:szCs w:val="24"/>
        </w:rPr>
        <w:t xml:space="preserve"> major cost and time overruns</w:t>
      </w:r>
      <w:r w:rsidRPr="0067794B">
        <w:rPr>
          <w:rFonts w:ascii="Times New Roman" w:hAnsi="Times New Roman" w:cs="Times New Roman"/>
          <w:sz w:val="24"/>
          <w:szCs w:val="24"/>
        </w:rPr>
        <w:t xml:space="preserve">. The mean was 3.2 while the standard deviation was 1.2. The study also established that the most (that is 63%) of the respondents concurred that </w:t>
      </w:r>
      <w:r>
        <w:rPr>
          <w:rFonts w:ascii="Times New Roman" w:eastAsia="Times New Roman" w:hAnsi="Times New Roman" w:cs="Times New Roman"/>
          <w:sz w:val="24"/>
          <w:szCs w:val="24"/>
        </w:rPr>
        <w:t>p</w:t>
      </w:r>
      <w:r w:rsidRPr="009B6A0E">
        <w:rPr>
          <w:rFonts w:ascii="Times New Roman" w:eastAsia="Times New Roman" w:hAnsi="Times New Roman" w:cs="Times New Roman"/>
          <w:sz w:val="24"/>
          <w:szCs w:val="24"/>
        </w:rPr>
        <w:t>oor procurement process may cause project variation which in turn affects the quality of the building projects as well as time taken to construct the buildings</w:t>
      </w:r>
      <w:r w:rsidRPr="0067794B">
        <w:rPr>
          <w:rFonts w:ascii="Times New Roman" w:hAnsi="Times New Roman" w:cs="Times New Roman"/>
          <w:sz w:val="24"/>
          <w:szCs w:val="24"/>
        </w:rPr>
        <w:t xml:space="preserve">. Their mean was also 3.4 while the standard deviation was 1.2 indicating variation in responses. </w:t>
      </w:r>
    </w:p>
    <w:p w:rsidR="00C13236" w:rsidRPr="0067794B" w:rsidRDefault="00C13236" w:rsidP="00C13236">
      <w:pPr>
        <w:spacing w:after="120" w:line="360" w:lineRule="auto"/>
        <w:jc w:val="both"/>
        <w:rPr>
          <w:rFonts w:ascii="Times New Roman" w:hAnsi="Times New Roman" w:cs="Times New Roman"/>
          <w:sz w:val="24"/>
          <w:szCs w:val="24"/>
        </w:rPr>
        <w:sectPr w:rsidR="00C13236" w:rsidRPr="0067794B" w:rsidSect="000439C1">
          <w:pgSz w:w="11906" w:h="16838"/>
          <w:pgMar w:top="1440" w:right="1440" w:bottom="1440" w:left="1440" w:header="708" w:footer="708" w:gutter="0"/>
          <w:cols w:space="708"/>
          <w:docGrid w:linePitch="360"/>
        </w:sectPr>
      </w:pPr>
      <w:r w:rsidRPr="0067794B">
        <w:rPr>
          <w:rFonts w:ascii="Times New Roman" w:hAnsi="Times New Roman" w:cs="Times New Roman"/>
          <w:sz w:val="24"/>
          <w:szCs w:val="24"/>
        </w:rPr>
        <w:t xml:space="preserve">Lastly, the majority of the respondents, </w:t>
      </w:r>
      <w:r>
        <w:rPr>
          <w:rFonts w:ascii="Times New Roman" w:hAnsi="Times New Roman" w:cs="Times New Roman"/>
          <w:sz w:val="24"/>
          <w:szCs w:val="24"/>
        </w:rPr>
        <w:t>82</w:t>
      </w:r>
      <w:r w:rsidRPr="0067794B">
        <w:rPr>
          <w:rFonts w:ascii="Times New Roman" w:hAnsi="Times New Roman" w:cs="Times New Roman"/>
          <w:sz w:val="24"/>
          <w:szCs w:val="24"/>
        </w:rPr>
        <w:t xml:space="preserve">%, supported the fact that </w:t>
      </w:r>
      <w:r>
        <w:rPr>
          <w:rFonts w:ascii="Times New Roman" w:hAnsi="Times New Roman" w:cs="Times New Roman"/>
          <w:sz w:val="24"/>
          <w:szCs w:val="24"/>
        </w:rPr>
        <w:t>m</w:t>
      </w:r>
      <w:r w:rsidRPr="009B6A0E">
        <w:rPr>
          <w:rFonts w:ascii="Times New Roman" w:hAnsi="Times New Roman" w:cs="Times New Roman"/>
          <w:sz w:val="24"/>
          <w:szCs w:val="24"/>
        </w:rPr>
        <w:t>aterials and equipment help</w:t>
      </w:r>
      <w:r>
        <w:rPr>
          <w:rFonts w:ascii="Times New Roman" w:hAnsi="Times New Roman" w:cs="Times New Roman"/>
          <w:sz w:val="24"/>
          <w:szCs w:val="24"/>
        </w:rPr>
        <w:t>ed</w:t>
      </w:r>
      <w:r w:rsidRPr="009B6A0E">
        <w:rPr>
          <w:rFonts w:ascii="Times New Roman" w:hAnsi="Times New Roman" w:cs="Times New Roman"/>
          <w:sz w:val="24"/>
          <w:szCs w:val="24"/>
        </w:rPr>
        <w:t xml:space="preserve"> to ensure the proper progress of project implementation as well as completion of projects on time and also </w:t>
      </w:r>
      <w:r>
        <w:rPr>
          <w:rFonts w:ascii="Times New Roman" w:hAnsi="Times New Roman" w:cs="Times New Roman"/>
          <w:sz w:val="24"/>
          <w:szCs w:val="24"/>
        </w:rPr>
        <w:t xml:space="preserve">the </w:t>
      </w:r>
      <w:r w:rsidRPr="009B6A0E">
        <w:rPr>
          <w:rFonts w:ascii="Times New Roman" w:hAnsi="Times New Roman" w:cs="Times New Roman"/>
          <w:sz w:val="24"/>
          <w:szCs w:val="24"/>
        </w:rPr>
        <w:t xml:space="preserve">quality </w:t>
      </w:r>
      <w:r>
        <w:rPr>
          <w:rFonts w:ascii="Times New Roman" w:hAnsi="Times New Roman" w:cs="Times New Roman"/>
          <w:sz w:val="24"/>
          <w:szCs w:val="24"/>
        </w:rPr>
        <w:t>was</w:t>
      </w:r>
      <w:r w:rsidRPr="009B6A0E">
        <w:rPr>
          <w:rFonts w:ascii="Times New Roman" w:hAnsi="Times New Roman" w:cs="Times New Roman"/>
          <w:sz w:val="24"/>
          <w:szCs w:val="24"/>
        </w:rPr>
        <w:t xml:space="preserve"> good</w:t>
      </w:r>
      <w:r w:rsidRPr="0067794B">
        <w:rPr>
          <w:rFonts w:ascii="Times New Roman" w:hAnsi="Times New Roman" w:cs="Times New Roman"/>
          <w:sz w:val="24"/>
          <w:szCs w:val="24"/>
        </w:rPr>
        <w:t xml:space="preserve">. The mean </w:t>
      </w:r>
      <w:r>
        <w:rPr>
          <w:rFonts w:ascii="Times New Roman" w:hAnsi="Times New Roman" w:cs="Times New Roman"/>
          <w:sz w:val="24"/>
          <w:szCs w:val="24"/>
        </w:rPr>
        <w:t>was 4.2</w:t>
      </w:r>
      <w:r w:rsidRPr="0067794B">
        <w:rPr>
          <w:rFonts w:ascii="Times New Roman" w:hAnsi="Times New Roman" w:cs="Times New Roman"/>
          <w:sz w:val="24"/>
          <w:szCs w:val="24"/>
        </w:rPr>
        <w:t xml:space="preserve"> while</w:t>
      </w:r>
      <w:r>
        <w:rPr>
          <w:rFonts w:ascii="Times New Roman" w:hAnsi="Times New Roman" w:cs="Times New Roman"/>
          <w:sz w:val="24"/>
          <w:szCs w:val="24"/>
        </w:rPr>
        <w:t xml:space="preserve"> the standard deviation was 1.1</w:t>
      </w:r>
      <w:r w:rsidRPr="0067794B">
        <w:rPr>
          <w:rFonts w:ascii="Times New Roman" w:hAnsi="Times New Roman" w:cs="Times New Roman"/>
          <w:sz w:val="24"/>
          <w:szCs w:val="24"/>
        </w:rPr>
        <w:t>. The overall mean for the structural variable was 3.6, indicating that majority of the respondents just agreed with the statements</w:t>
      </w:r>
      <w:r>
        <w:rPr>
          <w:rFonts w:ascii="Times New Roman" w:hAnsi="Times New Roman" w:cs="Times New Roman"/>
          <w:sz w:val="24"/>
          <w:szCs w:val="24"/>
        </w:rPr>
        <w:t>. The standard deviation was 1.2</w:t>
      </w:r>
      <w:r w:rsidRPr="0067794B">
        <w:rPr>
          <w:rFonts w:ascii="Times New Roman" w:hAnsi="Times New Roman" w:cs="Times New Roman"/>
          <w:sz w:val="24"/>
          <w:szCs w:val="24"/>
        </w:rPr>
        <w:t>, indicating that there was some variation in all of the responses.</w:t>
      </w:r>
    </w:p>
    <w:p w:rsidR="00C13236" w:rsidRPr="001B43BC" w:rsidRDefault="00C13236" w:rsidP="00C13236">
      <w:pPr>
        <w:spacing w:after="120" w:line="360" w:lineRule="auto"/>
        <w:jc w:val="both"/>
        <w:rPr>
          <w:rFonts w:ascii="Times New Roman" w:hAnsi="Times New Roman" w:cs="Times New Roman"/>
          <w:b/>
          <w:bCs/>
          <w:spacing w:val="-3"/>
          <w:position w:val="-1"/>
          <w:sz w:val="24"/>
          <w:szCs w:val="24"/>
        </w:rPr>
      </w:pPr>
      <w:r>
        <w:rPr>
          <w:rFonts w:ascii="Times New Roman" w:hAnsi="Times New Roman" w:cs="Times New Roman"/>
          <w:b/>
          <w:bCs/>
          <w:spacing w:val="-3"/>
          <w:position w:val="-1"/>
          <w:sz w:val="24"/>
          <w:szCs w:val="24"/>
        </w:rPr>
        <w:lastRenderedPageBreak/>
        <w:t>Table 4.10</w:t>
      </w:r>
      <w:r w:rsidRPr="0067794B">
        <w:rPr>
          <w:rFonts w:ascii="Times New Roman" w:hAnsi="Times New Roman" w:cs="Times New Roman"/>
          <w:b/>
          <w:bCs/>
          <w:spacing w:val="-3"/>
          <w:position w:val="-1"/>
          <w:sz w:val="24"/>
          <w:szCs w:val="24"/>
        </w:rPr>
        <w:t xml:space="preserve">: </w:t>
      </w:r>
      <w:r w:rsidRPr="001B43BC">
        <w:rPr>
          <w:rFonts w:ascii="Times New Roman" w:hAnsi="Times New Roman" w:cs="Times New Roman"/>
          <w:b/>
          <w:bCs/>
          <w:spacing w:val="-3"/>
          <w:position w:val="-1"/>
          <w:sz w:val="24"/>
          <w:szCs w:val="24"/>
        </w:rPr>
        <w:t>Project design variation</w:t>
      </w:r>
    </w:p>
    <w:tbl>
      <w:tblPr>
        <w:tblW w:w="4976" w:type="pct"/>
        <w:tblBorders>
          <w:top w:val="single" w:sz="4" w:space="0" w:color="auto"/>
          <w:bottom w:val="single" w:sz="4" w:space="0" w:color="auto"/>
        </w:tblBorders>
        <w:tblLayout w:type="fixed"/>
        <w:tblLook w:val="04A0" w:firstRow="1" w:lastRow="0" w:firstColumn="1" w:lastColumn="0" w:noHBand="0" w:noVBand="1"/>
      </w:tblPr>
      <w:tblGrid>
        <w:gridCol w:w="4151"/>
        <w:gridCol w:w="615"/>
        <w:gridCol w:w="701"/>
        <w:gridCol w:w="704"/>
        <w:gridCol w:w="702"/>
        <w:gridCol w:w="704"/>
        <w:gridCol w:w="702"/>
        <w:gridCol w:w="704"/>
      </w:tblGrid>
      <w:tr w:rsidR="00C13236" w:rsidRPr="0067794B" w:rsidTr="000439C1">
        <w:trPr>
          <w:trHeight w:val="462"/>
        </w:trPr>
        <w:tc>
          <w:tcPr>
            <w:tcW w:w="2310" w:type="pct"/>
            <w:tcBorders>
              <w:top w:val="single" w:sz="4" w:space="0" w:color="auto"/>
              <w:left w:val="nil"/>
              <w:bottom w:val="nil"/>
              <w:right w:val="nil"/>
            </w:tcBorders>
            <w:noWrap/>
          </w:tcPr>
          <w:p w:rsidR="00C13236" w:rsidRPr="0067794B" w:rsidRDefault="00C13236" w:rsidP="000439C1">
            <w:pPr>
              <w:spacing w:after="0" w:line="240" w:lineRule="auto"/>
              <w:jc w:val="both"/>
              <w:rPr>
                <w:rFonts w:ascii="Times New Roman" w:hAnsi="Times New Roman" w:cs="Times New Roman"/>
                <w:sz w:val="20"/>
                <w:szCs w:val="20"/>
              </w:rPr>
            </w:pPr>
          </w:p>
          <w:p w:rsidR="00C13236" w:rsidRPr="0067794B" w:rsidRDefault="00C13236" w:rsidP="000439C1">
            <w:pPr>
              <w:spacing w:after="0" w:line="240" w:lineRule="auto"/>
              <w:jc w:val="both"/>
              <w:rPr>
                <w:rFonts w:ascii="Times New Roman" w:hAnsi="Times New Roman" w:cs="Times New Roman"/>
                <w:sz w:val="20"/>
                <w:szCs w:val="20"/>
              </w:rPr>
            </w:pPr>
          </w:p>
        </w:tc>
        <w:tc>
          <w:tcPr>
            <w:tcW w:w="2690" w:type="pct"/>
            <w:gridSpan w:val="7"/>
            <w:tcBorders>
              <w:top w:val="single" w:sz="4" w:space="0" w:color="auto"/>
              <w:left w:val="nil"/>
              <w:bottom w:val="nil"/>
              <w:right w:val="nil"/>
            </w:tcBorders>
            <w:noWrap/>
            <w:hideMark/>
          </w:tcPr>
          <w:p w:rsidR="00C13236" w:rsidRPr="0067794B" w:rsidRDefault="00C13236" w:rsidP="000439C1">
            <w:pPr>
              <w:spacing w:after="0" w:line="240" w:lineRule="auto"/>
              <w:jc w:val="both"/>
              <w:rPr>
                <w:rFonts w:ascii="Times New Roman" w:hAnsi="Times New Roman" w:cs="Times New Roman"/>
                <w:sz w:val="20"/>
                <w:szCs w:val="20"/>
              </w:rPr>
            </w:pPr>
            <w:r w:rsidRPr="0067794B">
              <w:rPr>
                <w:rFonts w:ascii="Times New Roman" w:hAnsi="Times New Roman" w:cs="Times New Roman"/>
                <w:sz w:val="20"/>
                <w:szCs w:val="20"/>
              </w:rPr>
              <w:t>Percentage (%)</w:t>
            </w:r>
          </w:p>
        </w:tc>
      </w:tr>
      <w:tr w:rsidR="00C13236" w:rsidRPr="0067794B" w:rsidTr="000439C1">
        <w:trPr>
          <w:trHeight w:val="462"/>
        </w:trPr>
        <w:tc>
          <w:tcPr>
            <w:tcW w:w="2310"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Statement</w:t>
            </w:r>
          </w:p>
        </w:tc>
        <w:tc>
          <w:tcPr>
            <w:tcW w:w="342"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SD</w:t>
            </w:r>
          </w:p>
        </w:tc>
        <w:tc>
          <w:tcPr>
            <w:tcW w:w="390"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D</w:t>
            </w:r>
          </w:p>
        </w:tc>
        <w:tc>
          <w:tcPr>
            <w:tcW w:w="392"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N</w:t>
            </w:r>
          </w:p>
        </w:tc>
        <w:tc>
          <w:tcPr>
            <w:tcW w:w="391"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A</w:t>
            </w:r>
          </w:p>
        </w:tc>
        <w:tc>
          <w:tcPr>
            <w:tcW w:w="392"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SA</w:t>
            </w:r>
          </w:p>
        </w:tc>
        <w:tc>
          <w:tcPr>
            <w:tcW w:w="391"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Mean</w:t>
            </w:r>
          </w:p>
        </w:tc>
        <w:tc>
          <w:tcPr>
            <w:tcW w:w="392"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eastAsia="Times New Roman" w:hAnsi="Times New Roman" w:cs="Times New Roman"/>
                <w:b/>
                <w:bCs/>
                <w:color w:val="000000"/>
                <w:sz w:val="20"/>
                <w:szCs w:val="20"/>
              </w:rPr>
              <w:t>STD</w:t>
            </w:r>
          </w:p>
        </w:tc>
      </w:tr>
      <w:tr w:rsidR="00C13236" w:rsidRPr="0067794B" w:rsidTr="000439C1">
        <w:trPr>
          <w:trHeight w:val="455"/>
        </w:trPr>
        <w:tc>
          <w:tcPr>
            <w:tcW w:w="2310"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eastAsia="Times New Roman" w:hAnsi="Times New Roman" w:cs="Times New Roman"/>
                <w:sz w:val="24"/>
                <w:szCs w:val="24"/>
              </w:rPr>
              <w:t>Addition or removal of a specific design that had initially been incorporated in a project influence project completion</w:t>
            </w:r>
          </w:p>
        </w:tc>
        <w:tc>
          <w:tcPr>
            <w:tcW w:w="34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7.56</w:t>
            </w:r>
          </w:p>
        </w:tc>
        <w:tc>
          <w:tcPr>
            <w:tcW w:w="39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17.65</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7.98</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44.54</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22.27</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3.563</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1.227</w:t>
            </w:r>
          </w:p>
        </w:tc>
      </w:tr>
      <w:tr w:rsidR="00C13236" w:rsidRPr="0067794B" w:rsidTr="000439C1">
        <w:trPr>
          <w:trHeight w:val="462"/>
        </w:trPr>
        <w:tc>
          <w:tcPr>
            <w:tcW w:w="2310"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eastAsia="Times New Roman" w:hAnsi="Times New Roman" w:cs="Times New Roman"/>
                <w:sz w:val="24"/>
                <w:szCs w:val="24"/>
              </w:rPr>
              <w:t>Many public infrastructure project in developing countries incur design variation which has major cost and time overruns</w:t>
            </w:r>
          </w:p>
        </w:tc>
        <w:tc>
          <w:tcPr>
            <w:tcW w:w="34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9.66</w:t>
            </w:r>
          </w:p>
        </w:tc>
        <w:tc>
          <w:tcPr>
            <w:tcW w:w="39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20.59</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29.83</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22.69</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17.23</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3.172</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1.219</w:t>
            </w:r>
          </w:p>
        </w:tc>
      </w:tr>
      <w:tr w:rsidR="00C13236" w:rsidRPr="0067794B" w:rsidTr="000439C1">
        <w:trPr>
          <w:trHeight w:val="484"/>
        </w:trPr>
        <w:tc>
          <w:tcPr>
            <w:tcW w:w="2310"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eastAsia="Times New Roman" w:hAnsi="Times New Roman" w:cs="Times New Roman"/>
                <w:sz w:val="24"/>
                <w:szCs w:val="24"/>
              </w:rPr>
              <w:t>Poor procurement process may cause project variation which in turn affects the quality of the building projects as well as time taken to construct the buildings</w:t>
            </w:r>
          </w:p>
        </w:tc>
        <w:tc>
          <w:tcPr>
            <w:tcW w:w="34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7.14</w:t>
            </w:r>
          </w:p>
        </w:tc>
        <w:tc>
          <w:tcPr>
            <w:tcW w:w="39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21.85</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8.4</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46.22</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16.39</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3.429</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1.202</w:t>
            </w:r>
          </w:p>
        </w:tc>
      </w:tr>
      <w:tr w:rsidR="00C13236" w:rsidRPr="0067794B" w:rsidTr="000439C1">
        <w:trPr>
          <w:trHeight w:val="484"/>
        </w:trPr>
        <w:tc>
          <w:tcPr>
            <w:tcW w:w="2310"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 xml:space="preserve">Materials and equipment help to ensure the proper progress of project implementation as well as completion of projects on time and also quality is good. </w:t>
            </w:r>
          </w:p>
        </w:tc>
        <w:tc>
          <w:tcPr>
            <w:tcW w:w="34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5.04</w:t>
            </w:r>
          </w:p>
        </w:tc>
        <w:tc>
          <w:tcPr>
            <w:tcW w:w="390"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2.1</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10.08</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30.25</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52.52</w:t>
            </w:r>
          </w:p>
        </w:tc>
        <w:tc>
          <w:tcPr>
            <w:tcW w:w="391"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4.231</w:t>
            </w:r>
          </w:p>
        </w:tc>
        <w:tc>
          <w:tcPr>
            <w:tcW w:w="392"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1.056</w:t>
            </w:r>
          </w:p>
        </w:tc>
      </w:tr>
      <w:tr w:rsidR="00C13236" w:rsidRPr="0067794B" w:rsidTr="000439C1">
        <w:trPr>
          <w:trHeight w:val="494"/>
        </w:trPr>
        <w:tc>
          <w:tcPr>
            <w:tcW w:w="2310"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Overall Mean</w:t>
            </w:r>
          </w:p>
        </w:tc>
        <w:tc>
          <w:tcPr>
            <w:tcW w:w="342"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90"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92"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91"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92"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91" w:type="pct"/>
            <w:tcBorders>
              <w:top w:val="single" w:sz="4" w:space="0" w:color="auto"/>
              <w:left w:val="nil"/>
              <w:bottom w:val="single" w:sz="4" w:space="0" w:color="auto"/>
              <w:right w:val="nil"/>
            </w:tcBorders>
            <w:noWrap/>
            <w:vAlign w:val="bottom"/>
            <w:hideMark/>
          </w:tcPr>
          <w:p w:rsidR="00C13236" w:rsidRPr="0067794B" w:rsidRDefault="00C13236" w:rsidP="000439C1">
            <w:pPr>
              <w:jc w:val="both"/>
              <w:rPr>
                <w:rFonts w:ascii="Times New Roman" w:hAnsi="Times New Roman" w:cs="Times New Roman"/>
                <w:b/>
                <w:color w:val="000000"/>
                <w:sz w:val="20"/>
                <w:szCs w:val="20"/>
              </w:rPr>
            </w:pPr>
            <w:r w:rsidRPr="00D45D58">
              <w:rPr>
                <w:rFonts w:ascii="Times New Roman" w:hAnsi="Times New Roman" w:cs="Times New Roman"/>
                <w:b/>
                <w:color w:val="000000"/>
                <w:sz w:val="20"/>
                <w:szCs w:val="20"/>
              </w:rPr>
              <w:t>3.598</w:t>
            </w:r>
          </w:p>
        </w:tc>
        <w:tc>
          <w:tcPr>
            <w:tcW w:w="392" w:type="pct"/>
            <w:tcBorders>
              <w:top w:val="single" w:sz="4" w:space="0" w:color="auto"/>
              <w:left w:val="nil"/>
              <w:bottom w:val="single" w:sz="4" w:space="0" w:color="auto"/>
              <w:right w:val="nil"/>
            </w:tcBorders>
            <w:noWrap/>
            <w:vAlign w:val="bottom"/>
            <w:hideMark/>
          </w:tcPr>
          <w:p w:rsidR="00C13236" w:rsidRPr="0067794B" w:rsidRDefault="00C13236" w:rsidP="000439C1">
            <w:pPr>
              <w:jc w:val="both"/>
              <w:rPr>
                <w:rFonts w:ascii="Times New Roman" w:hAnsi="Times New Roman" w:cs="Times New Roman"/>
                <w:b/>
                <w:color w:val="000000"/>
                <w:sz w:val="20"/>
                <w:szCs w:val="20"/>
              </w:rPr>
            </w:pPr>
            <w:r w:rsidRPr="00D45D58">
              <w:rPr>
                <w:rFonts w:ascii="Times New Roman" w:hAnsi="Times New Roman" w:cs="Times New Roman"/>
                <w:b/>
                <w:color w:val="000000"/>
                <w:sz w:val="20"/>
                <w:szCs w:val="20"/>
              </w:rPr>
              <w:t>1.176</w:t>
            </w:r>
          </w:p>
        </w:tc>
      </w:tr>
    </w:tbl>
    <w:p w:rsidR="00C13236" w:rsidRPr="0067794B" w:rsidRDefault="00C13236" w:rsidP="00C13236">
      <w:pPr>
        <w:pStyle w:val="Heading3"/>
        <w:jc w:val="both"/>
        <w:rPr>
          <w:rFonts w:eastAsia="MS Gothic" w:cs="Times New Roman"/>
        </w:rPr>
      </w:pPr>
      <w:r>
        <w:rPr>
          <w:rFonts w:eastAsia="MS Gothic" w:cs="Times New Roman"/>
        </w:rPr>
        <w:t>4.6.5</w:t>
      </w:r>
      <w:r w:rsidRPr="0067794B">
        <w:rPr>
          <w:rFonts w:eastAsia="MS Gothic" w:cs="Times New Roman"/>
        </w:rPr>
        <w:t xml:space="preserve"> </w:t>
      </w:r>
      <w:r>
        <w:rPr>
          <w:rFonts w:cs="Times New Roman"/>
        </w:rPr>
        <w:t>Delay in project completion</w:t>
      </w:r>
    </w:p>
    <w:p w:rsidR="00C13236" w:rsidRPr="0067794B" w:rsidRDefault="00C13236" w:rsidP="00C13236">
      <w:pPr>
        <w:rPr>
          <w:rFonts w:ascii="Times New Roman" w:hAnsi="Times New Roman" w:cs="Times New Roman"/>
        </w:rPr>
      </w:pP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The study sought to explore </w:t>
      </w:r>
      <w:r>
        <w:rPr>
          <w:rFonts w:ascii="Times New Roman" w:hAnsi="Times New Roman" w:cs="Times New Roman"/>
          <w:sz w:val="24"/>
          <w:szCs w:val="24"/>
        </w:rPr>
        <w:t xml:space="preserve">the delay of completion of projects in </w:t>
      </w:r>
      <w:proofErr w:type="spellStart"/>
      <w:r>
        <w:rPr>
          <w:rFonts w:ascii="Times New Roman" w:hAnsi="Times New Roman" w:cs="Times New Roman"/>
          <w:sz w:val="24"/>
          <w:szCs w:val="24"/>
        </w:rPr>
        <w:t>Bomet</w:t>
      </w:r>
      <w:proofErr w:type="spellEnd"/>
      <w:r>
        <w:rPr>
          <w:rFonts w:ascii="Times New Roman" w:hAnsi="Times New Roman" w:cs="Times New Roman"/>
          <w:sz w:val="24"/>
          <w:szCs w:val="24"/>
        </w:rPr>
        <w:t xml:space="preserve"> County.</w:t>
      </w:r>
      <w:r w:rsidRPr="0067794B">
        <w:rPr>
          <w:rFonts w:ascii="Times New Roman" w:hAnsi="Times New Roman" w:cs="Times New Roman"/>
          <w:sz w:val="24"/>
          <w:szCs w:val="24"/>
        </w:rPr>
        <w:t xml:space="preserve"> The responses were rated on a </w:t>
      </w:r>
      <w:proofErr w:type="spellStart"/>
      <w:r w:rsidRPr="0067794B">
        <w:rPr>
          <w:rFonts w:ascii="Times New Roman" w:hAnsi="Times New Roman" w:cs="Times New Roman"/>
          <w:sz w:val="24"/>
          <w:szCs w:val="24"/>
        </w:rPr>
        <w:t>Likert</w:t>
      </w:r>
      <w:proofErr w:type="spellEnd"/>
      <w:r w:rsidRPr="0067794B">
        <w:rPr>
          <w:rFonts w:ascii="Times New Roman" w:hAnsi="Times New Roman" w:cs="Times New Roman"/>
          <w:sz w:val="24"/>
          <w:szCs w:val="24"/>
        </w:rPr>
        <w:t xml:space="preserve"> scale and the results are as presented in table 4.12. The study results</w:t>
      </w:r>
      <w:r>
        <w:rPr>
          <w:rFonts w:ascii="Times New Roman" w:hAnsi="Times New Roman" w:cs="Times New Roman"/>
          <w:sz w:val="24"/>
          <w:szCs w:val="24"/>
        </w:rPr>
        <w:t xml:space="preserve"> showed that </w:t>
      </w:r>
      <w:r w:rsidRPr="0067794B">
        <w:rPr>
          <w:rFonts w:ascii="Times New Roman" w:hAnsi="Times New Roman" w:cs="Times New Roman"/>
          <w:sz w:val="24"/>
          <w:szCs w:val="24"/>
        </w:rPr>
        <w:t xml:space="preserve">about 44% and 22%, of the respondents just agreed and strongly agreed with the fact </w:t>
      </w:r>
      <w:r>
        <w:rPr>
          <w:rFonts w:ascii="Times New Roman" w:hAnsi="Times New Roman" w:cs="Times New Roman"/>
          <w:sz w:val="24"/>
          <w:szCs w:val="24"/>
        </w:rPr>
        <w:t>i</w:t>
      </w:r>
      <w:r w:rsidRPr="009B6A0E">
        <w:rPr>
          <w:rFonts w:ascii="Times New Roman" w:hAnsi="Times New Roman" w:cs="Times New Roman"/>
          <w:sz w:val="24"/>
          <w:szCs w:val="24"/>
        </w:rPr>
        <w:t>nfrastructural projects completion delay due to inadequate set timelines</w:t>
      </w:r>
      <w:r w:rsidRPr="0067794B">
        <w:rPr>
          <w:rFonts w:ascii="Times New Roman" w:hAnsi="Times New Roman" w:cs="Times New Roman"/>
          <w:sz w:val="24"/>
          <w:szCs w:val="24"/>
        </w:rPr>
        <w:t>. Only 25% disagreed with that statement. This made the mean for the statement to be 3.6 with a standard deviation 1.2 indicating some variation in responses. Similarly, the majority of the respondent</w:t>
      </w:r>
      <w:r>
        <w:rPr>
          <w:rFonts w:ascii="Times New Roman" w:hAnsi="Times New Roman" w:cs="Times New Roman"/>
          <w:sz w:val="24"/>
          <w:szCs w:val="24"/>
        </w:rPr>
        <w:t>s, 40%, supported the fact that i</w:t>
      </w:r>
      <w:r w:rsidRPr="009B6A0E">
        <w:rPr>
          <w:rFonts w:ascii="Times New Roman" w:hAnsi="Times New Roman" w:cs="Times New Roman"/>
          <w:sz w:val="24"/>
          <w:szCs w:val="24"/>
        </w:rPr>
        <w:t>nfrastructural projects completion delay due to poorly set objectives</w:t>
      </w:r>
      <w:r w:rsidRPr="0067794B">
        <w:rPr>
          <w:rFonts w:ascii="Times New Roman" w:hAnsi="Times New Roman" w:cs="Times New Roman"/>
          <w:sz w:val="24"/>
          <w:szCs w:val="24"/>
        </w:rPr>
        <w:t xml:space="preserve">. The mean was 3.2 while the standard deviation was 1.2. The study also established that the most (that is 63%) of the respondents concurred that </w:t>
      </w:r>
      <w:r>
        <w:rPr>
          <w:rFonts w:ascii="Times New Roman" w:hAnsi="Times New Roman" w:cs="Times New Roman"/>
          <w:sz w:val="24"/>
          <w:szCs w:val="24"/>
        </w:rPr>
        <w:t>i</w:t>
      </w:r>
      <w:r w:rsidRPr="009B6A0E">
        <w:rPr>
          <w:rFonts w:ascii="Times New Roman" w:hAnsi="Times New Roman" w:cs="Times New Roman"/>
          <w:sz w:val="24"/>
          <w:szCs w:val="24"/>
        </w:rPr>
        <w:t xml:space="preserve">nfrastructural projects </w:t>
      </w:r>
      <w:r>
        <w:rPr>
          <w:rFonts w:ascii="Times New Roman" w:hAnsi="Times New Roman" w:cs="Times New Roman"/>
          <w:sz w:val="24"/>
          <w:szCs w:val="24"/>
        </w:rPr>
        <w:t>were</w:t>
      </w:r>
      <w:r w:rsidRPr="009B6A0E">
        <w:rPr>
          <w:rFonts w:ascii="Times New Roman" w:hAnsi="Times New Roman" w:cs="Times New Roman"/>
          <w:sz w:val="24"/>
          <w:szCs w:val="24"/>
        </w:rPr>
        <w:t xml:space="preserve"> delayed due to the cost/budget provisions</w:t>
      </w:r>
      <w:r w:rsidRPr="0067794B">
        <w:rPr>
          <w:rFonts w:ascii="Times New Roman" w:hAnsi="Times New Roman" w:cs="Times New Roman"/>
          <w:sz w:val="24"/>
          <w:szCs w:val="24"/>
        </w:rPr>
        <w:t xml:space="preserve">. Their mean was also 3.4 while the standard deviation was 1.2 indicating variation in responses. </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On the other hand, the study established that the majority, 83% of the respondents concurred</w:t>
      </w:r>
      <w:r>
        <w:rPr>
          <w:rFonts w:ascii="Times New Roman" w:hAnsi="Times New Roman" w:cs="Times New Roman"/>
          <w:sz w:val="24"/>
          <w:szCs w:val="24"/>
        </w:rPr>
        <w:t xml:space="preserve"> with fact</w:t>
      </w:r>
      <w:r w:rsidRPr="0067794B">
        <w:rPr>
          <w:rFonts w:ascii="Times New Roman" w:hAnsi="Times New Roman" w:cs="Times New Roman"/>
          <w:sz w:val="24"/>
          <w:szCs w:val="24"/>
        </w:rPr>
        <w:t xml:space="preserve"> that </w:t>
      </w:r>
      <w:r>
        <w:rPr>
          <w:rFonts w:ascii="Times New Roman" w:hAnsi="Times New Roman" w:cs="Times New Roman"/>
          <w:sz w:val="24"/>
          <w:szCs w:val="24"/>
        </w:rPr>
        <w:t>infrastructural project</w:t>
      </w:r>
      <w:r w:rsidRPr="009B6A0E">
        <w:rPr>
          <w:rFonts w:ascii="Times New Roman" w:hAnsi="Times New Roman" w:cs="Times New Roman"/>
          <w:sz w:val="24"/>
          <w:szCs w:val="24"/>
        </w:rPr>
        <w:t xml:space="preserve"> delays </w:t>
      </w:r>
      <w:r>
        <w:rPr>
          <w:rFonts w:ascii="Times New Roman" w:hAnsi="Times New Roman" w:cs="Times New Roman"/>
          <w:sz w:val="24"/>
          <w:szCs w:val="24"/>
        </w:rPr>
        <w:t>were</w:t>
      </w:r>
      <w:r w:rsidRPr="009B6A0E">
        <w:rPr>
          <w:rFonts w:ascii="Times New Roman" w:hAnsi="Times New Roman" w:cs="Times New Roman"/>
          <w:sz w:val="24"/>
          <w:szCs w:val="24"/>
        </w:rPr>
        <w:t xml:space="preserve"> due to set technical requirements</w:t>
      </w:r>
      <w:r w:rsidRPr="0067794B">
        <w:rPr>
          <w:rFonts w:ascii="Times New Roman" w:hAnsi="Times New Roman" w:cs="Times New Roman"/>
          <w:sz w:val="24"/>
          <w:szCs w:val="24"/>
        </w:rPr>
        <w:t xml:space="preserve">. Their mean was 4.23 while the standard deviation was 1.1indicating variation in responses. About 26% and 23%, of the respondents just agreed and strongly agreed respectively with the fact that </w:t>
      </w:r>
      <w:r w:rsidRPr="009B6A0E">
        <w:rPr>
          <w:rFonts w:ascii="Times New Roman" w:hAnsi="Times New Roman" w:cs="Times New Roman"/>
          <w:sz w:val="24"/>
          <w:szCs w:val="24"/>
        </w:rPr>
        <w:lastRenderedPageBreak/>
        <w:t>Infrastructural projects delay in implementation as a result of intended quality standards</w:t>
      </w:r>
      <w:r w:rsidRPr="0067794B">
        <w:rPr>
          <w:rFonts w:ascii="Times New Roman" w:hAnsi="Times New Roman" w:cs="Times New Roman"/>
          <w:sz w:val="24"/>
          <w:szCs w:val="24"/>
        </w:rPr>
        <w:t>. Only 11.8% disagreed with that statement. This made the mean for the statement to be 3.5 with a standard deviation 1.1 indicating some variation in responses.</w:t>
      </w:r>
    </w:p>
    <w:p w:rsidR="00C13236" w:rsidRPr="0067794B" w:rsidRDefault="00C13236" w:rsidP="00C13236">
      <w:pPr>
        <w:spacing w:after="120" w:line="360" w:lineRule="auto"/>
        <w:jc w:val="both"/>
        <w:rPr>
          <w:rFonts w:ascii="Times New Roman" w:hAnsi="Times New Roman" w:cs="Times New Roman"/>
          <w:sz w:val="24"/>
          <w:szCs w:val="24"/>
        </w:rPr>
        <w:sectPr w:rsidR="00C13236" w:rsidRPr="0067794B">
          <w:pgSz w:w="11906" w:h="16838"/>
          <w:pgMar w:top="1440" w:right="1440" w:bottom="1440" w:left="1440" w:header="708" w:footer="708" w:gutter="0"/>
          <w:cols w:space="708"/>
          <w:docGrid w:linePitch="360"/>
        </w:sectPr>
      </w:pPr>
      <w:r w:rsidRPr="0067794B">
        <w:rPr>
          <w:rFonts w:ascii="Times New Roman" w:hAnsi="Times New Roman" w:cs="Times New Roman"/>
          <w:sz w:val="24"/>
          <w:szCs w:val="24"/>
        </w:rPr>
        <w:t xml:space="preserve">Lastly, the majority of the respondents, </w:t>
      </w:r>
      <w:r>
        <w:rPr>
          <w:rFonts w:ascii="Times New Roman" w:hAnsi="Times New Roman" w:cs="Times New Roman"/>
          <w:sz w:val="24"/>
          <w:szCs w:val="24"/>
        </w:rPr>
        <w:t>71</w:t>
      </w:r>
      <w:r w:rsidRPr="0067794B">
        <w:rPr>
          <w:rFonts w:ascii="Times New Roman" w:hAnsi="Times New Roman" w:cs="Times New Roman"/>
          <w:sz w:val="24"/>
          <w:szCs w:val="24"/>
        </w:rPr>
        <w:t xml:space="preserve">%, supported the fact </w:t>
      </w:r>
      <w:r>
        <w:rPr>
          <w:rFonts w:ascii="Times New Roman" w:hAnsi="Times New Roman" w:cs="Times New Roman"/>
          <w:sz w:val="24"/>
          <w:szCs w:val="24"/>
        </w:rPr>
        <w:t>i</w:t>
      </w:r>
      <w:r w:rsidRPr="009B6A0E">
        <w:rPr>
          <w:rFonts w:ascii="Times New Roman" w:hAnsi="Times New Roman" w:cs="Times New Roman"/>
          <w:sz w:val="24"/>
          <w:szCs w:val="24"/>
        </w:rPr>
        <w:t xml:space="preserve">nfrastructural projects </w:t>
      </w:r>
      <w:r>
        <w:rPr>
          <w:rFonts w:ascii="Times New Roman" w:hAnsi="Times New Roman" w:cs="Times New Roman"/>
          <w:sz w:val="24"/>
          <w:szCs w:val="24"/>
        </w:rPr>
        <w:t>were</w:t>
      </w:r>
      <w:r w:rsidRPr="009B6A0E">
        <w:rPr>
          <w:rFonts w:ascii="Times New Roman" w:hAnsi="Times New Roman" w:cs="Times New Roman"/>
          <w:sz w:val="24"/>
          <w:szCs w:val="24"/>
        </w:rPr>
        <w:t xml:space="preserve"> implemented amidst many user satisfaction</w:t>
      </w:r>
      <w:r w:rsidRPr="0067794B">
        <w:rPr>
          <w:rFonts w:ascii="Times New Roman" w:hAnsi="Times New Roman" w:cs="Times New Roman"/>
          <w:sz w:val="24"/>
          <w:szCs w:val="24"/>
        </w:rPr>
        <w:t xml:space="preserve">. The mean was 3.8 while the standard deviation was 1.09. The overall mean for the structural variable was 3.6, indicating that majority of the respondents just agreed with the statements. </w:t>
      </w:r>
      <w:r>
        <w:rPr>
          <w:rFonts w:ascii="Times New Roman" w:hAnsi="Times New Roman" w:cs="Times New Roman"/>
          <w:sz w:val="24"/>
          <w:szCs w:val="24"/>
        </w:rPr>
        <w:t>The standard deviation was 1.1</w:t>
      </w:r>
      <w:r w:rsidRPr="0067794B">
        <w:rPr>
          <w:rFonts w:ascii="Times New Roman" w:hAnsi="Times New Roman" w:cs="Times New Roman"/>
          <w:sz w:val="24"/>
          <w:szCs w:val="24"/>
        </w:rPr>
        <w:t>, indicating that there was some va</w:t>
      </w:r>
      <w:r>
        <w:rPr>
          <w:rFonts w:ascii="Times New Roman" w:hAnsi="Times New Roman" w:cs="Times New Roman"/>
          <w:sz w:val="24"/>
          <w:szCs w:val="24"/>
        </w:rPr>
        <w:t>riation in all of the responses.</w:t>
      </w:r>
    </w:p>
    <w:p w:rsidR="00C13236" w:rsidRPr="001B43BC" w:rsidRDefault="00C13236" w:rsidP="00C13236">
      <w:pPr>
        <w:spacing w:after="120" w:line="360" w:lineRule="auto"/>
        <w:jc w:val="both"/>
        <w:rPr>
          <w:rFonts w:ascii="Times New Roman" w:hAnsi="Times New Roman" w:cs="Times New Roman"/>
          <w:b/>
          <w:bCs/>
          <w:spacing w:val="-3"/>
          <w:position w:val="-1"/>
          <w:sz w:val="24"/>
          <w:szCs w:val="24"/>
        </w:rPr>
      </w:pPr>
      <w:r>
        <w:rPr>
          <w:rFonts w:ascii="Times New Roman" w:hAnsi="Times New Roman" w:cs="Times New Roman"/>
          <w:b/>
          <w:bCs/>
          <w:spacing w:val="-3"/>
          <w:position w:val="-1"/>
          <w:sz w:val="24"/>
          <w:szCs w:val="24"/>
        </w:rPr>
        <w:lastRenderedPageBreak/>
        <w:t>Table 4.11</w:t>
      </w:r>
      <w:r w:rsidRPr="001B43BC">
        <w:rPr>
          <w:rFonts w:ascii="Times New Roman" w:hAnsi="Times New Roman" w:cs="Times New Roman"/>
          <w:b/>
          <w:bCs/>
          <w:spacing w:val="-3"/>
          <w:position w:val="-1"/>
          <w:sz w:val="24"/>
          <w:szCs w:val="24"/>
        </w:rPr>
        <w:t>: Delay in project completion</w:t>
      </w:r>
    </w:p>
    <w:tbl>
      <w:tblPr>
        <w:tblW w:w="4684" w:type="pct"/>
        <w:tblBorders>
          <w:top w:val="single" w:sz="4" w:space="0" w:color="auto"/>
          <w:bottom w:val="single" w:sz="4" w:space="0" w:color="auto"/>
        </w:tblBorders>
        <w:tblLayout w:type="fixed"/>
        <w:tblLook w:val="04A0" w:firstRow="1" w:lastRow="0" w:firstColumn="1" w:lastColumn="0" w:noHBand="0" w:noVBand="1"/>
      </w:tblPr>
      <w:tblGrid>
        <w:gridCol w:w="3532"/>
        <w:gridCol w:w="615"/>
        <w:gridCol w:w="615"/>
        <w:gridCol w:w="704"/>
        <w:gridCol w:w="704"/>
        <w:gridCol w:w="704"/>
        <w:gridCol w:w="704"/>
        <w:gridCol w:w="878"/>
      </w:tblGrid>
      <w:tr w:rsidR="00C13236" w:rsidRPr="0067794B" w:rsidTr="000439C1">
        <w:trPr>
          <w:trHeight w:val="562"/>
        </w:trPr>
        <w:tc>
          <w:tcPr>
            <w:tcW w:w="2089" w:type="pct"/>
            <w:tcBorders>
              <w:top w:val="single" w:sz="4" w:space="0" w:color="auto"/>
              <w:left w:val="nil"/>
              <w:bottom w:val="nil"/>
              <w:right w:val="nil"/>
            </w:tcBorders>
            <w:noWrap/>
          </w:tcPr>
          <w:p w:rsidR="00C13236" w:rsidRPr="0067794B" w:rsidRDefault="00C13236" w:rsidP="000439C1">
            <w:pPr>
              <w:spacing w:after="0" w:line="240" w:lineRule="auto"/>
              <w:jc w:val="both"/>
              <w:rPr>
                <w:rFonts w:ascii="Times New Roman" w:hAnsi="Times New Roman" w:cs="Times New Roman"/>
                <w:sz w:val="20"/>
                <w:szCs w:val="20"/>
              </w:rPr>
            </w:pPr>
          </w:p>
          <w:p w:rsidR="00C13236" w:rsidRPr="0067794B" w:rsidRDefault="00C13236" w:rsidP="000439C1">
            <w:pPr>
              <w:spacing w:after="0" w:line="240" w:lineRule="auto"/>
              <w:jc w:val="both"/>
              <w:rPr>
                <w:rFonts w:ascii="Times New Roman" w:hAnsi="Times New Roman" w:cs="Times New Roman"/>
                <w:sz w:val="20"/>
                <w:szCs w:val="20"/>
              </w:rPr>
            </w:pPr>
          </w:p>
        </w:tc>
        <w:tc>
          <w:tcPr>
            <w:tcW w:w="2911" w:type="pct"/>
            <w:gridSpan w:val="7"/>
            <w:tcBorders>
              <w:top w:val="single" w:sz="4" w:space="0" w:color="auto"/>
              <w:left w:val="nil"/>
              <w:bottom w:val="nil"/>
              <w:right w:val="nil"/>
            </w:tcBorders>
            <w:noWrap/>
            <w:hideMark/>
          </w:tcPr>
          <w:p w:rsidR="00C13236" w:rsidRPr="0067794B" w:rsidRDefault="00C13236" w:rsidP="000439C1">
            <w:pPr>
              <w:spacing w:after="0" w:line="240" w:lineRule="auto"/>
              <w:jc w:val="both"/>
              <w:rPr>
                <w:rFonts w:ascii="Times New Roman" w:hAnsi="Times New Roman" w:cs="Times New Roman"/>
                <w:sz w:val="20"/>
                <w:szCs w:val="20"/>
              </w:rPr>
            </w:pPr>
            <w:r w:rsidRPr="0067794B">
              <w:rPr>
                <w:rFonts w:ascii="Times New Roman" w:hAnsi="Times New Roman" w:cs="Times New Roman"/>
                <w:sz w:val="20"/>
                <w:szCs w:val="20"/>
              </w:rPr>
              <w:t>Percentage (%)</w:t>
            </w:r>
          </w:p>
        </w:tc>
      </w:tr>
      <w:tr w:rsidR="00C13236" w:rsidRPr="0067794B" w:rsidTr="000439C1">
        <w:trPr>
          <w:trHeight w:val="562"/>
        </w:trPr>
        <w:tc>
          <w:tcPr>
            <w:tcW w:w="2089"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Macro Environment</w:t>
            </w:r>
          </w:p>
        </w:tc>
        <w:tc>
          <w:tcPr>
            <w:tcW w:w="364"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SD</w:t>
            </w:r>
          </w:p>
        </w:tc>
        <w:tc>
          <w:tcPr>
            <w:tcW w:w="364"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D</w:t>
            </w:r>
          </w:p>
        </w:tc>
        <w:tc>
          <w:tcPr>
            <w:tcW w:w="41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N</w:t>
            </w:r>
          </w:p>
        </w:tc>
        <w:tc>
          <w:tcPr>
            <w:tcW w:w="41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A</w:t>
            </w:r>
          </w:p>
        </w:tc>
        <w:tc>
          <w:tcPr>
            <w:tcW w:w="41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SA</w:t>
            </w:r>
          </w:p>
        </w:tc>
        <w:tc>
          <w:tcPr>
            <w:tcW w:w="416"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Mean</w:t>
            </w:r>
          </w:p>
        </w:tc>
        <w:tc>
          <w:tcPr>
            <w:tcW w:w="519" w:type="pct"/>
            <w:tcBorders>
              <w:top w:val="nil"/>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eastAsia="Times New Roman" w:hAnsi="Times New Roman" w:cs="Times New Roman"/>
                <w:b/>
                <w:bCs/>
                <w:color w:val="000000"/>
                <w:sz w:val="20"/>
                <w:szCs w:val="20"/>
              </w:rPr>
              <w:t>STD</w:t>
            </w:r>
          </w:p>
        </w:tc>
      </w:tr>
      <w:tr w:rsidR="00C13236" w:rsidRPr="0067794B" w:rsidTr="000439C1">
        <w:trPr>
          <w:trHeight w:val="554"/>
        </w:trPr>
        <w:tc>
          <w:tcPr>
            <w:tcW w:w="2089"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Infrastructural projects completion delay due to inadequate set timelines</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7.56</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17.65</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7.98</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44.54</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22.27</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3.563</w:t>
            </w:r>
          </w:p>
        </w:tc>
        <w:tc>
          <w:tcPr>
            <w:tcW w:w="519"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1.227</w:t>
            </w:r>
          </w:p>
        </w:tc>
      </w:tr>
      <w:tr w:rsidR="00C13236" w:rsidRPr="0067794B" w:rsidTr="000439C1">
        <w:trPr>
          <w:trHeight w:val="562"/>
        </w:trPr>
        <w:tc>
          <w:tcPr>
            <w:tcW w:w="2089"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Infrastructural projects completion delay due to poorly set objectives</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9.66</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20.59</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29.83</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22.69</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17.23</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3.172</w:t>
            </w:r>
          </w:p>
        </w:tc>
        <w:tc>
          <w:tcPr>
            <w:tcW w:w="519"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1.219</w:t>
            </w:r>
          </w:p>
        </w:tc>
      </w:tr>
      <w:tr w:rsidR="00C13236" w:rsidRPr="0067794B" w:rsidTr="000439C1">
        <w:trPr>
          <w:trHeight w:val="588"/>
        </w:trPr>
        <w:tc>
          <w:tcPr>
            <w:tcW w:w="2089"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Infrastructural projects are delayed due to the cost/budget provisions</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7.14</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21.85</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8.4</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46.22</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16.39</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3.429</w:t>
            </w:r>
          </w:p>
        </w:tc>
        <w:tc>
          <w:tcPr>
            <w:tcW w:w="519"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1.202</w:t>
            </w:r>
          </w:p>
        </w:tc>
      </w:tr>
      <w:tr w:rsidR="00C13236" w:rsidRPr="0067794B" w:rsidTr="000439C1">
        <w:trPr>
          <w:trHeight w:val="588"/>
        </w:trPr>
        <w:tc>
          <w:tcPr>
            <w:tcW w:w="2089"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Infrastructural projects delays is due to set technical requirements</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5.04</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2.1</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10.08</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30.25</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52.52</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4.231</w:t>
            </w:r>
          </w:p>
        </w:tc>
        <w:tc>
          <w:tcPr>
            <w:tcW w:w="519"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1.056</w:t>
            </w:r>
          </w:p>
        </w:tc>
      </w:tr>
      <w:tr w:rsidR="00C13236" w:rsidRPr="0067794B" w:rsidTr="000439C1">
        <w:trPr>
          <w:trHeight w:val="588"/>
        </w:trPr>
        <w:tc>
          <w:tcPr>
            <w:tcW w:w="2089" w:type="pct"/>
            <w:tcBorders>
              <w:top w:val="nil"/>
              <w:left w:val="nil"/>
              <w:bottom w:val="nil"/>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Infrastructural projects delay in implementation as a result of intended quality standards</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6.3</w:t>
            </w:r>
          </w:p>
        </w:tc>
        <w:tc>
          <w:tcPr>
            <w:tcW w:w="364"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5.46</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39.08</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26.05</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23.11</w:t>
            </w:r>
          </w:p>
        </w:tc>
        <w:tc>
          <w:tcPr>
            <w:tcW w:w="416"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3.542</w:t>
            </w:r>
          </w:p>
        </w:tc>
        <w:tc>
          <w:tcPr>
            <w:tcW w:w="519" w:type="pct"/>
            <w:tcBorders>
              <w:top w:val="nil"/>
              <w:left w:val="nil"/>
              <w:bottom w:val="nil"/>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1.097</w:t>
            </w:r>
          </w:p>
        </w:tc>
      </w:tr>
      <w:tr w:rsidR="00C13236" w:rsidRPr="0067794B" w:rsidTr="000439C1">
        <w:trPr>
          <w:trHeight w:val="588"/>
        </w:trPr>
        <w:tc>
          <w:tcPr>
            <w:tcW w:w="2089" w:type="pct"/>
            <w:tcBorders>
              <w:top w:val="nil"/>
              <w:left w:val="nil"/>
              <w:bottom w:val="single" w:sz="4" w:space="0" w:color="auto"/>
              <w:right w:val="nil"/>
            </w:tcBorders>
            <w:noWrap/>
            <w:hideMark/>
          </w:tcPr>
          <w:p w:rsidR="00C13236" w:rsidRPr="009B6A0E" w:rsidRDefault="00C13236" w:rsidP="000439C1">
            <w:pPr>
              <w:spacing w:after="0" w:line="240" w:lineRule="auto"/>
              <w:rPr>
                <w:rFonts w:ascii="Times New Roman" w:hAnsi="Times New Roman" w:cs="Times New Roman"/>
                <w:sz w:val="24"/>
                <w:szCs w:val="24"/>
              </w:rPr>
            </w:pPr>
            <w:r w:rsidRPr="009B6A0E">
              <w:rPr>
                <w:rFonts w:ascii="Times New Roman" w:hAnsi="Times New Roman" w:cs="Times New Roman"/>
                <w:sz w:val="24"/>
                <w:szCs w:val="24"/>
              </w:rPr>
              <w:t>Infrastructural projects are implemented amidst many user satisfaction</w:t>
            </w:r>
          </w:p>
        </w:tc>
        <w:tc>
          <w:tcPr>
            <w:tcW w:w="364"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5.04</w:t>
            </w:r>
          </w:p>
        </w:tc>
        <w:tc>
          <w:tcPr>
            <w:tcW w:w="364"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8.4</w:t>
            </w:r>
          </w:p>
        </w:tc>
        <w:tc>
          <w:tcPr>
            <w:tcW w:w="416"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14.71</w:t>
            </w:r>
          </w:p>
        </w:tc>
        <w:tc>
          <w:tcPr>
            <w:tcW w:w="416"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43.7</w:t>
            </w:r>
          </w:p>
        </w:tc>
        <w:tc>
          <w:tcPr>
            <w:tcW w:w="416"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28.15</w:t>
            </w:r>
          </w:p>
        </w:tc>
        <w:tc>
          <w:tcPr>
            <w:tcW w:w="416"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3.815</w:t>
            </w:r>
          </w:p>
        </w:tc>
        <w:tc>
          <w:tcPr>
            <w:tcW w:w="519" w:type="pct"/>
            <w:tcBorders>
              <w:top w:val="nil"/>
              <w:left w:val="nil"/>
              <w:bottom w:val="single" w:sz="4" w:space="0" w:color="auto"/>
              <w:right w:val="nil"/>
            </w:tcBorders>
            <w:noWrap/>
            <w:vAlign w:val="center"/>
            <w:hideMark/>
          </w:tcPr>
          <w:p w:rsidR="00C13236" w:rsidRPr="0067794B" w:rsidRDefault="00C13236" w:rsidP="000439C1">
            <w:pPr>
              <w:jc w:val="both"/>
              <w:rPr>
                <w:rFonts w:ascii="Times New Roman" w:hAnsi="Times New Roman" w:cs="Times New Roman"/>
                <w:color w:val="000000"/>
                <w:sz w:val="20"/>
                <w:szCs w:val="20"/>
              </w:rPr>
            </w:pPr>
            <w:r w:rsidRPr="0067794B">
              <w:rPr>
                <w:rFonts w:ascii="Times New Roman" w:hAnsi="Times New Roman" w:cs="Times New Roman"/>
                <w:color w:val="000000"/>
                <w:sz w:val="20"/>
                <w:szCs w:val="20"/>
              </w:rPr>
              <w:t>1.091</w:t>
            </w:r>
          </w:p>
        </w:tc>
      </w:tr>
      <w:tr w:rsidR="00C13236" w:rsidRPr="0067794B" w:rsidTr="000439C1">
        <w:trPr>
          <w:trHeight w:val="600"/>
        </w:trPr>
        <w:tc>
          <w:tcPr>
            <w:tcW w:w="2089" w:type="pct"/>
            <w:tcBorders>
              <w:top w:val="single" w:sz="4" w:space="0" w:color="auto"/>
              <w:left w:val="nil"/>
              <w:bottom w:val="single" w:sz="4" w:space="0" w:color="auto"/>
              <w:right w:val="nil"/>
            </w:tcBorders>
            <w:noWrap/>
            <w:hideMark/>
          </w:tcPr>
          <w:p w:rsidR="00C13236" w:rsidRPr="0067794B" w:rsidRDefault="00C13236" w:rsidP="000439C1">
            <w:pPr>
              <w:spacing w:after="0" w:line="240" w:lineRule="auto"/>
              <w:jc w:val="both"/>
              <w:rPr>
                <w:rFonts w:ascii="Times New Roman" w:hAnsi="Times New Roman" w:cs="Times New Roman"/>
                <w:b/>
                <w:sz w:val="20"/>
                <w:szCs w:val="20"/>
              </w:rPr>
            </w:pPr>
            <w:r w:rsidRPr="0067794B">
              <w:rPr>
                <w:rFonts w:ascii="Times New Roman" w:hAnsi="Times New Roman" w:cs="Times New Roman"/>
                <w:b/>
                <w:sz w:val="20"/>
                <w:szCs w:val="20"/>
              </w:rPr>
              <w:t>Overall Mean</w:t>
            </w:r>
          </w:p>
        </w:tc>
        <w:tc>
          <w:tcPr>
            <w:tcW w:w="364"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364"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416"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416"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416" w:type="pct"/>
            <w:tcBorders>
              <w:top w:val="single" w:sz="4" w:space="0" w:color="auto"/>
              <w:left w:val="nil"/>
              <w:bottom w:val="single" w:sz="4" w:space="0" w:color="auto"/>
              <w:right w:val="nil"/>
            </w:tcBorders>
            <w:noWrap/>
          </w:tcPr>
          <w:p w:rsidR="00C13236" w:rsidRPr="0067794B" w:rsidRDefault="00C13236" w:rsidP="000439C1">
            <w:pPr>
              <w:spacing w:after="0" w:line="240" w:lineRule="auto"/>
              <w:jc w:val="both"/>
              <w:rPr>
                <w:rFonts w:ascii="Times New Roman" w:hAnsi="Times New Roman" w:cs="Times New Roman"/>
                <w:b/>
                <w:sz w:val="20"/>
                <w:szCs w:val="20"/>
              </w:rPr>
            </w:pPr>
          </w:p>
        </w:tc>
        <w:tc>
          <w:tcPr>
            <w:tcW w:w="416" w:type="pct"/>
            <w:tcBorders>
              <w:top w:val="single" w:sz="4" w:space="0" w:color="auto"/>
              <w:left w:val="nil"/>
              <w:bottom w:val="single" w:sz="4" w:space="0" w:color="auto"/>
              <w:right w:val="nil"/>
            </w:tcBorders>
            <w:noWrap/>
            <w:vAlign w:val="bottom"/>
            <w:hideMark/>
          </w:tcPr>
          <w:p w:rsidR="00C13236" w:rsidRPr="0067794B" w:rsidRDefault="00C13236" w:rsidP="000439C1">
            <w:pPr>
              <w:jc w:val="both"/>
              <w:rPr>
                <w:rFonts w:ascii="Times New Roman" w:hAnsi="Times New Roman" w:cs="Times New Roman"/>
                <w:b/>
                <w:color w:val="000000"/>
                <w:sz w:val="20"/>
                <w:szCs w:val="20"/>
              </w:rPr>
            </w:pPr>
            <w:r>
              <w:rPr>
                <w:rFonts w:ascii="Times New Roman" w:hAnsi="Times New Roman" w:cs="Times New Roman"/>
                <w:b/>
                <w:color w:val="000000"/>
                <w:sz w:val="20"/>
                <w:szCs w:val="20"/>
              </w:rPr>
              <w:t>3.625</w:t>
            </w:r>
          </w:p>
        </w:tc>
        <w:tc>
          <w:tcPr>
            <w:tcW w:w="519" w:type="pct"/>
            <w:tcBorders>
              <w:top w:val="single" w:sz="4" w:space="0" w:color="auto"/>
              <w:left w:val="nil"/>
              <w:bottom w:val="single" w:sz="4" w:space="0" w:color="auto"/>
              <w:right w:val="nil"/>
            </w:tcBorders>
            <w:noWrap/>
            <w:vAlign w:val="bottom"/>
            <w:hideMark/>
          </w:tcPr>
          <w:p w:rsidR="00C13236" w:rsidRPr="0067794B" w:rsidRDefault="00C13236" w:rsidP="000439C1">
            <w:pPr>
              <w:jc w:val="both"/>
              <w:rPr>
                <w:rFonts w:ascii="Times New Roman" w:hAnsi="Times New Roman" w:cs="Times New Roman"/>
                <w:b/>
                <w:color w:val="000000"/>
                <w:sz w:val="20"/>
                <w:szCs w:val="20"/>
              </w:rPr>
            </w:pPr>
            <w:r>
              <w:rPr>
                <w:rFonts w:ascii="Times New Roman" w:hAnsi="Times New Roman" w:cs="Times New Roman"/>
                <w:b/>
                <w:color w:val="000000"/>
                <w:sz w:val="20"/>
                <w:szCs w:val="20"/>
              </w:rPr>
              <w:t>1.148</w:t>
            </w:r>
          </w:p>
        </w:tc>
      </w:tr>
    </w:tbl>
    <w:p w:rsidR="00C13236" w:rsidRPr="0067794B" w:rsidRDefault="00C13236" w:rsidP="00C13236">
      <w:pPr>
        <w:pStyle w:val="Heading2"/>
        <w:rPr>
          <w:rFonts w:cs="Times New Roman"/>
          <w:szCs w:val="24"/>
        </w:rPr>
      </w:pPr>
      <w:r w:rsidRPr="0067794B">
        <w:rPr>
          <w:rFonts w:cs="Times New Roman"/>
          <w:szCs w:val="24"/>
        </w:rPr>
        <w:t>4.7 Correlation and Hypothesis Test</w:t>
      </w:r>
      <w:bookmarkEnd w:id="8"/>
      <w:r w:rsidRPr="0067794B">
        <w:rPr>
          <w:rFonts w:cs="Times New Roman"/>
          <w:szCs w:val="24"/>
        </w:rPr>
        <w:t>ing</w:t>
      </w:r>
    </w:p>
    <w:p w:rsidR="00C13236" w:rsidRPr="0067794B" w:rsidRDefault="00C13236" w:rsidP="00C13236">
      <w:pPr>
        <w:pStyle w:val="Heading3"/>
        <w:rPr>
          <w:rFonts w:cs="Times New Roman"/>
        </w:rPr>
      </w:pPr>
      <w:bookmarkStart w:id="88" w:name="_Toc510449120"/>
      <w:r w:rsidRPr="0067794B">
        <w:rPr>
          <w:rFonts w:cs="Times New Roman"/>
        </w:rPr>
        <w:t>4.7.1 Introduction</w:t>
      </w:r>
      <w:bookmarkEnd w:id="88"/>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This section presents Structural Equation Modelling (SEM) in the hypothesis testing. After the measurement model had been determined and confirmed, the study tested the proposed structural and linear model. The relationship</w:t>
      </w:r>
      <w:r>
        <w:rPr>
          <w:rFonts w:ascii="Times New Roman" w:hAnsi="Times New Roman" w:cs="Times New Roman"/>
          <w:sz w:val="24"/>
          <w:szCs w:val="24"/>
        </w:rPr>
        <w:t xml:space="preserve">s between citizen participation, project financing, technical capacity and project design in the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 xml:space="preserve">infrastructure projects in </w:t>
      </w:r>
      <w:proofErr w:type="spellStart"/>
      <w:r w:rsidRPr="009B6A0E">
        <w:rPr>
          <w:rFonts w:ascii="Times New Roman" w:hAnsi="Times New Roman" w:cs="Times New Roman"/>
          <w:sz w:val="24"/>
          <w:szCs w:val="24"/>
        </w:rPr>
        <w:t>Bomet</w:t>
      </w:r>
      <w:proofErr w:type="spellEnd"/>
      <w:r w:rsidRPr="009B6A0E">
        <w:rPr>
          <w:rFonts w:ascii="Times New Roman" w:hAnsi="Times New Roman" w:cs="Times New Roman"/>
          <w:sz w:val="24"/>
          <w:szCs w:val="24"/>
        </w:rPr>
        <w:t xml:space="preserve"> County</w:t>
      </w:r>
      <w:r>
        <w:rPr>
          <w:rFonts w:ascii="Times New Roman" w:hAnsi="Times New Roman" w:cs="Times New Roman"/>
          <w:sz w:val="24"/>
          <w:szCs w:val="24"/>
        </w:rPr>
        <w:t xml:space="preserve">, </w:t>
      </w:r>
      <w:r w:rsidRPr="0067794B">
        <w:rPr>
          <w:rFonts w:ascii="Times New Roman" w:hAnsi="Times New Roman" w:cs="Times New Roman"/>
          <w:sz w:val="24"/>
          <w:szCs w:val="24"/>
        </w:rPr>
        <w:t>was subjected to correlational and SEM analysis for hypothesis testing.</w:t>
      </w:r>
    </w:p>
    <w:p w:rsidR="00C13236" w:rsidRPr="0067794B" w:rsidRDefault="00C13236" w:rsidP="00C13236">
      <w:pPr>
        <w:pStyle w:val="Heading3"/>
        <w:rPr>
          <w:rFonts w:cs="Times New Roman"/>
        </w:rPr>
      </w:pPr>
      <w:bookmarkStart w:id="89" w:name="_Toc510449121"/>
      <w:r w:rsidRPr="0067794B">
        <w:rPr>
          <w:rFonts w:cs="Times New Roman"/>
        </w:rPr>
        <w:t>4.7.2 Correlation Analysis</w:t>
      </w:r>
      <w:bookmarkEnd w:id="89"/>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In this study, correlation analysis of the latent variables was conducted and correlation coefficients obtained. This aids in assessment of the influence of all study variables on </w:t>
      </w:r>
      <w:r>
        <w:rPr>
          <w:rFonts w:ascii="Times New Roman" w:hAnsi="Times New Roman" w:cs="Times New Roman"/>
          <w:sz w:val="24"/>
          <w:szCs w:val="24"/>
        </w:rPr>
        <w:t>delay in completion of projects,</w:t>
      </w:r>
      <w:r w:rsidRPr="0067794B">
        <w:rPr>
          <w:rFonts w:ascii="Times New Roman" w:hAnsi="Times New Roman" w:cs="Times New Roman"/>
          <w:sz w:val="24"/>
          <w:szCs w:val="24"/>
        </w:rPr>
        <w:t xml:space="preserve"> as well as amongst themselves. The correlation of the Observed Index Matrix (OIM) was carried out and results presented in table 13. The correlation coefficient (r) value, measures the strength and direction of the relationship between two continuous or ratio/scale variables. The study also established that there was no highly correlated since correlations coefficients in most of the pairs was less than 0.5.</w:t>
      </w:r>
    </w:p>
    <w:p w:rsidR="00C13236" w:rsidRPr="0067794B" w:rsidRDefault="00C13236" w:rsidP="00C13236">
      <w:pPr>
        <w:pStyle w:val="Caption"/>
        <w:keepNext/>
      </w:pPr>
      <w:bookmarkStart w:id="90" w:name="_Toc510449195"/>
      <w:r w:rsidRPr="0067794B">
        <w:lastRenderedPageBreak/>
        <w:t>Table</w:t>
      </w:r>
      <w:r>
        <w:t xml:space="preserve"> </w:t>
      </w:r>
      <w:r w:rsidRPr="0067794B">
        <w:t>4.</w:t>
      </w:r>
      <w:r>
        <w:t>12</w:t>
      </w:r>
      <w:r w:rsidRPr="0067794B">
        <w:t>: Correlations</w:t>
      </w:r>
      <w:bookmarkEnd w:id="90"/>
      <w:r w:rsidRPr="0067794B">
        <w:t xml:space="preserve"> Matrix</w:t>
      </w:r>
    </w:p>
    <w:tbl>
      <w:tblPr>
        <w:tblStyle w:val="TableGrid"/>
        <w:tblW w:w="0" w:type="auto"/>
        <w:tblLook w:val="04A0" w:firstRow="1" w:lastRow="0" w:firstColumn="1" w:lastColumn="0" w:noHBand="0" w:noVBand="1"/>
      </w:tblPr>
      <w:tblGrid>
        <w:gridCol w:w="1543"/>
        <w:gridCol w:w="1411"/>
        <w:gridCol w:w="1345"/>
        <w:gridCol w:w="1487"/>
        <w:gridCol w:w="1401"/>
        <w:gridCol w:w="883"/>
      </w:tblGrid>
      <w:tr w:rsidR="00C13236" w:rsidRPr="0067794B" w:rsidTr="000439C1">
        <w:tc>
          <w:tcPr>
            <w:tcW w:w="1543" w:type="dxa"/>
          </w:tcPr>
          <w:p w:rsidR="00C13236" w:rsidRPr="0067794B" w:rsidRDefault="00C13236" w:rsidP="000439C1">
            <w:pPr>
              <w:rPr>
                <w:rFonts w:ascii="Times New Roman" w:hAnsi="Times New Roman" w:cs="Times New Roman"/>
                <w:b/>
                <w:sz w:val="20"/>
                <w:szCs w:val="20"/>
              </w:rPr>
            </w:pPr>
            <w:r w:rsidRPr="0067794B">
              <w:rPr>
                <w:rFonts w:ascii="Times New Roman" w:hAnsi="Times New Roman" w:cs="Times New Roman"/>
                <w:b/>
                <w:sz w:val="20"/>
                <w:szCs w:val="20"/>
              </w:rPr>
              <w:t xml:space="preserve">Variables </w:t>
            </w:r>
          </w:p>
        </w:tc>
        <w:tc>
          <w:tcPr>
            <w:tcW w:w="1411"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b/>
                <w:sz w:val="20"/>
                <w:szCs w:val="20"/>
              </w:rPr>
              <w:t>Delay in project completion</w:t>
            </w:r>
          </w:p>
        </w:tc>
        <w:tc>
          <w:tcPr>
            <w:tcW w:w="1345"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b/>
                <w:sz w:val="20"/>
                <w:szCs w:val="20"/>
              </w:rPr>
              <w:t>Citizen participation</w:t>
            </w:r>
          </w:p>
        </w:tc>
        <w:tc>
          <w:tcPr>
            <w:tcW w:w="1487"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sz w:val="24"/>
                <w:szCs w:val="24"/>
              </w:rPr>
              <w:t>project financing</w:t>
            </w:r>
          </w:p>
        </w:tc>
        <w:tc>
          <w:tcPr>
            <w:tcW w:w="1401"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sz w:val="24"/>
                <w:szCs w:val="24"/>
              </w:rPr>
              <w:t>technical capacity</w:t>
            </w:r>
          </w:p>
        </w:tc>
        <w:tc>
          <w:tcPr>
            <w:tcW w:w="883"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sz w:val="24"/>
                <w:szCs w:val="24"/>
              </w:rPr>
              <w:t>project design</w:t>
            </w:r>
          </w:p>
        </w:tc>
      </w:tr>
      <w:tr w:rsidR="00C13236" w:rsidRPr="0067794B" w:rsidTr="000439C1">
        <w:tc>
          <w:tcPr>
            <w:tcW w:w="1543"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b/>
                <w:sz w:val="20"/>
                <w:szCs w:val="20"/>
              </w:rPr>
              <w:t>Delay in project completion</w:t>
            </w:r>
          </w:p>
        </w:tc>
        <w:tc>
          <w:tcPr>
            <w:tcW w:w="1411" w:type="dxa"/>
          </w:tcPr>
          <w:p w:rsidR="00C13236" w:rsidRPr="0067794B" w:rsidRDefault="00C13236" w:rsidP="000439C1">
            <w:pPr>
              <w:rPr>
                <w:rFonts w:ascii="Times New Roman" w:hAnsi="Times New Roman" w:cs="Times New Roman"/>
                <w:sz w:val="20"/>
                <w:szCs w:val="20"/>
              </w:rPr>
            </w:pPr>
            <w:r w:rsidRPr="0067794B">
              <w:rPr>
                <w:rFonts w:ascii="Times New Roman" w:hAnsi="Times New Roman" w:cs="Times New Roman"/>
                <w:sz w:val="20"/>
                <w:szCs w:val="20"/>
              </w:rPr>
              <w:t>1.000</w:t>
            </w:r>
          </w:p>
        </w:tc>
        <w:tc>
          <w:tcPr>
            <w:tcW w:w="1345" w:type="dxa"/>
          </w:tcPr>
          <w:p w:rsidR="00C13236" w:rsidRPr="0067794B" w:rsidRDefault="00C13236" w:rsidP="000439C1">
            <w:pPr>
              <w:rPr>
                <w:rFonts w:ascii="Times New Roman" w:hAnsi="Times New Roman" w:cs="Times New Roman"/>
                <w:sz w:val="20"/>
                <w:szCs w:val="20"/>
              </w:rPr>
            </w:pPr>
          </w:p>
        </w:tc>
        <w:tc>
          <w:tcPr>
            <w:tcW w:w="1487" w:type="dxa"/>
          </w:tcPr>
          <w:p w:rsidR="00C13236" w:rsidRPr="0067794B" w:rsidRDefault="00C13236" w:rsidP="000439C1">
            <w:pPr>
              <w:rPr>
                <w:rFonts w:ascii="Times New Roman" w:hAnsi="Times New Roman" w:cs="Times New Roman"/>
                <w:sz w:val="20"/>
                <w:szCs w:val="20"/>
              </w:rPr>
            </w:pPr>
          </w:p>
        </w:tc>
        <w:tc>
          <w:tcPr>
            <w:tcW w:w="1401" w:type="dxa"/>
          </w:tcPr>
          <w:p w:rsidR="00C13236" w:rsidRPr="0067794B" w:rsidRDefault="00C13236" w:rsidP="000439C1">
            <w:pPr>
              <w:rPr>
                <w:rFonts w:ascii="Times New Roman" w:hAnsi="Times New Roman" w:cs="Times New Roman"/>
                <w:sz w:val="20"/>
                <w:szCs w:val="20"/>
              </w:rPr>
            </w:pPr>
          </w:p>
        </w:tc>
        <w:tc>
          <w:tcPr>
            <w:tcW w:w="883" w:type="dxa"/>
          </w:tcPr>
          <w:p w:rsidR="00C13236" w:rsidRPr="0067794B" w:rsidRDefault="00C13236" w:rsidP="000439C1">
            <w:pPr>
              <w:rPr>
                <w:rFonts w:ascii="Times New Roman" w:hAnsi="Times New Roman" w:cs="Times New Roman"/>
                <w:sz w:val="20"/>
                <w:szCs w:val="20"/>
              </w:rPr>
            </w:pPr>
          </w:p>
        </w:tc>
      </w:tr>
      <w:tr w:rsidR="00C13236" w:rsidRPr="0067794B" w:rsidTr="000439C1">
        <w:tc>
          <w:tcPr>
            <w:tcW w:w="1543"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b/>
                <w:sz w:val="20"/>
                <w:szCs w:val="20"/>
              </w:rPr>
              <w:t>Citizen participation</w:t>
            </w:r>
          </w:p>
        </w:tc>
        <w:tc>
          <w:tcPr>
            <w:tcW w:w="1411" w:type="dxa"/>
          </w:tcPr>
          <w:p w:rsidR="00C13236" w:rsidRPr="0067794B" w:rsidRDefault="00C13236" w:rsidP="000439C1">
            <w:pPr>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0.4846</w:t>
            </w:r>
          </w:p>
        </w:tc>
        <w:tc>
          <w:tcPr>
            <w:tcW w:w="1345" w:type="dxa"/>
          </w:tcPr>
          <w:p w:rsidR="00C13236" w:rsidRPr="0067794B" w:rsidRDefault="00C13236" w:rsidP="000439C1">
            <w:pPr>
              <w:rPr>
                <w:rFonts w:ascii="Times New Roman" w:hAnsi="Times New Roman" w:cs="Times New Roman"/>
                <w:sz w:val="20"/>
                <w:szCs w:val="20"/>
              </w:rPr>
            </w:pPr>
            <w:r w:rsidRPr="0067794B">
              <w:rPr>
                <w:rFonts w:ascii="Times New Roman" w:hAnsi="Times New Roman" w:cs="Times New Roman"/>
                <w:sz w:val="20"/>
                <w:szCs w:val="20"/>
              </w:rPr>
              <w:t>1.000</w:t>
            </w:r>
          </w:p>
        </w:tc>
        <w:tc>
          <w:tcPr>
            <w:tcW w:w="1487" w:type="dxa"/>
          </w:tcPr>
          <w:p w:rsidR="00C13236" w:rsidRPr="0067794B" w:rsidRDefault="00C13236" w:rsidP="000439C1">
            <w:pPr>
              <w:rPr>
                <w:rFonts w:ascii="Times New Roman" w:hAnsi="Times New Roman" w:cs="Times New Roman"/>
                <w:sz w:val="20"/>
                <w:szCs w:val="20"/>
              </w:rPr>
            </w:pPr>
          </w:p>
        </w:tc>
        <w:tc>
          <w:tcPr>
            <w:tcW w:w="1401" w:type="dxa"/>
          </w:tcPr>
          <w:p w:rsidR="00C13236" w:rsidRPr="0067794B" w:rsidRDefault="00C13236" w:rsidP="000439C1">
            <w:pPr>
              <w:rPr>
                <w:rFonts w:ascii="Times New Roman" w:hAnsi="Times New Roman" w:cs="Times New Roman"/>
                <w:sz w:val="20"/>
                <w:szCs w:val="20"/>
              </w:rPr>
            </w:pPr>
          </w:p>
        </w:tc>
        <w:tc>
          <w:tcPr>
            <w:tcW w:w="883" w:type="dxa"/>
          </w:tcPr>
          <w:p w:rsidR="00C13236" w:rsidRPr="0067794B" w:rsidRDefault="00C13236" w:rsidP="000439C1">
            <w:pPr>
              <w:rPr>
                <w:rFonts w:ascii="Times New Roman" w:hAnsi="Times New Roman" w:cs="Times New Roman"/>
                <w:sz w:val="20"/>
                <w:szCs w:val="20"/>
              </w:rPr>
            </w:pPr>
          </w:p>
        </w:tc>
      </w:tr>
      <w:tr w:rsidR="00C13236" w:rsidRPr="0067794B" w:rsidTr="000439C1">
        <w:tc>
          <w:tcPr>
            <w:tcW w:w="1543"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sz w:val="24"/>
                <w:szCs w:val="24"/>
              </w:rPr>
              <w:t>project financing</w:t>
            </w:r>
          </w:p>
        </w:tc>
        <w:tc>
          <w:tcPr>
            <w:tcW w:w="1411" w:type="dxa"/>
          </w:tcPr>
          <w:p w:rsidR="00C13236" w:rsidRPr="0067794B" w:rsidRDefault="00C13236" w:rsidP="000439C1">
            <w:pPr>
              <w:rPr>
                <w:rFonts w:ascii="Times New Roman" w:hAnsi="Times New Roman" w:cs="Times New Roman"/>
                <w:sz w:val="20"/>
                <w:szCs w:val="20"/>
              </w:rPr>
            </w:pPr>
            <w:r w:rsidRPr="0067794B">
              <w:rPr>
                <w:rFonts w:ascii="Times New Roman" w:eastAsia="Times New Roman" w:hAnsi="Times New Roman" w:cs="Times New Roman"/>
                <w:sz w:val="20"/>
                <w:szCs w:val="20"/>
                <w:lang w:eastAsia="en-GB"/>
              </w:rPr>
              <w:t>0.4499</w:t>
            </w:r>
          </w:p>
        </w:tc>
        <w:tc>
          <w:tcPr>
            <w:tcW w:w="1345" w:type="dxa"/>
          </w:tcPr>
          <w:p w:rsidR="00C13236" w:rsidRPr="0067794B" w:rsidRDefault="00C13236" w:rsidP="000439C1">
            <w:pPr>
              <w:rPr>
                <w:rFonts w:ascii="Times New Roman" w:hAnsi="Times New Roman" w:cs="Times New Roman"/>
                <w:sz w:val="20"/>
                <w:szCs w:val="20"/>
              </w:rPr>
            </w:pPr>
            <w:r w:rsidRPr="0067794B">
              <w:rPr>
                <w:rFonts w:ascii="Times New Roman" w:eastAsia="Times New Roman" w:hAnsi="Times New Roman" w:cs="Times New Roman"/>
                <w:sz w:val="20"/>
                <w:szCs w:val="20"/>
                <w:lang w:eastAsia="en-GB"/>
              </w:rPr>
              <w:t>0.3451</w:t>
            </w:r>
          </w:p>
        </w:tc>
        <w:tc>
          <w:tcPr>
            <w:tcW w:w="1487" w:type="dxa"/>
          </w:tcPr>
          <w:p w:rsidR="00C13236" w:rsidRPr="0067794B" w:rsidRDefault="00C13236" w:rsidP="000439C1">
            <w:pPr>
              <w:rPr>
                <w:rFonts w:ascii="Times New Roman" w:hAnsi="Times New Roman" w:cs="Times New Roman"/>
                <w:sz w:val="20"/>
                <w:szCs w:val="20"/>
              </w:rPr>
            </w:pPr>
            <w:r w:rsidRPr="0067794B">
              <w:rPr>
                <w:rFonts w:ascii="Times New Roman" w:hAnsi="Times New Roman" w:cs="Times New Roman"/>
                <w:sz w:val="20"/>
                <w:szCs w:val="20"/>
              </w:rPr>
              <w:t>1.000</w:t>
            </w:r>
          </w:p>
        </w:tc>
        <w:tc>
          <w:tcPr>
            <w:tcW w:w="1401" w:type="dxa"/>
          </w:tcPr>
          <w:p w:rsidR="00C13236" w:rsidRPr="0067794B" w:rsidRDefault="00C13236" w:rsidP="000439C1">
            <w:pPr>
              <w:rPr>
                <w:rFonts w:ascii="Times New Roman" w:hAnsi="Times New Roman" w:cs="Times New Roman"/>
                <w:sz w:val="20"/>
                <w:szCs w:val="20"/>
              </w:rPr>
            </w:pPr>
          </w:p>
        </w:tc>
        <w:tc>
          <w:tcPr>
            <w:tcW w:w="883" w:type="dxa"/>
          </w:tcPr>
          <w:p w:rsidR="00C13236" w:rsidRPr="0067794B" w:rsidRDefault="00C13236" w:rsidP="000439C1">
            <w:pPr>
              <w:rPr>
                <w:rFonts w:ascii="Times New Roman" w:hAnsi="Times New Roman" w:cs="Times New Roman"/>
                <w:sz w:val="20"/>
                <w:szCs w:val="20"/>
              </w:rPr>
            </w:pPr>
          </w:p>
        </w:tc>
      </w:tr>
      <w:tr w:rsidR="00C13236" w:rsidRPr="0067794B" w:rsidTr="000439C1">
        <w:tc>
          <w:tcPr>
            <w:tcW w:w="1543"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sz w:val="24"/>
                <w:szCs w:val="24"/>
              </w:rPr>
              <w:t>technical capacity</w:t>
            </w:r>
          </w:p>
        </w:tc>
        <w:tc>
          <w:tcPr>
            <w:tcW w:w="1411" w:type="dxa"/>
          </w:tcPr>
          <w:p w:rsidR="00C13236" w:rsidRPr="0067794B" w:rsidRDefault="00C13236" w:rsidP="000439C1">
            <w:pPr>
              <w:rPr>
                <w:rFonts w:ascii="Times New Roman" w:hAnsi="Times New Roman" w:cs="Times New Roman"/>
                <w:sz w:val="20"/>
                <w:szCs w:val="20"/>
              </w:rPr>
            </w:pPr>
            <w:r w:rsidRPr="0067794B">
              <w:rPr>
                <w:rFonts w:ascii="Times New Roman" w:eastAsia="Times New Roman" w:hAnsi="Times New Roman" w:cs="Times New Roman"/>
                <w:sz w:val="20"/>
                <w:szCs w:val="20"/>
                <w:lang w:eastAsia="en-GB"/>
              </w:rPr>
              <w:t>0.8606</w:t>
            </w:r>
          </w:p>
        </w:tc>
        <w:tc>
          <w:tcPr>
            <w:tcW w:w="1345" w:type="dxa"/>
          </w:tcPr>
          <w:p w:rsidR="00C13236" w:rsidRPr="0067794B" w:rsidRDefault="00C13236" w:rsidP="000439C1">
            <w:pPr>
              <w:rPr>
                <w:rFonts w:ascii="Times New Roman" w:hAnsi="Times New Roman" w:cs="Times New Roman"/>
                <w:sz w:val="20"/>
                <w:szCs w:val="20"/>
              </w:rPr>
            </w:pPr>
            <w:r w:rsidRPr="0067794B">
              <w:rPr>
                <w:rFonts w:ascii="Times New Roman" w:eastAsia="Times New Roman" w:hAnsi="Times New Roman" w:cs="Times New Roman"/>
                <w:sz w:val="20"/>
                <w:szCs w:val="20"/>
                <w:lang w:eastAsia="en-GB"/>
              </w:rPr>
              <w:t>0.4889</w:t>
            </w:r>
          </w:p>
        </w:tc>
        <w:tc>
          <w:tcPr>
            <w:tcW w:w="1487" w:type="dxa"/>
          </w:tcPr>
          <w:p w:rsidR="00C13236" w:rsidRPr="0067794B" w:rsidRDefault="00C13236" w:rsidP="000439C1">
            <w:pPr>
              <w:rPr>
                <w:rFonts w:ascii="Times New Roman" w:hAnsi="Times New Roman" w:cs="Times New Roman"/>
                <w:sz w:val="20"/>
                <w:szCs w:val="20"/>
              </w:rPr>
            </w:pPr>
            <w:r w:rsidRPr="0067794B">
              <w:rPr>
                <w:rFonts w:ascii="Times New Roman" w:eastAsia="Times New Roman" w:hAnsi="Times New Roman" w:cs="Times New Roman"/>
                <w:sz w:val="20"/>
                <w:szCs w:val="20"/>
                <w:lang w:eastAsia="en-GB"/>
              </w:rPr>
              <w:t>-0.4288</w:t>
            </w:r>
          </w:p>
        </w:tc>
        <w:tc>
          <w:tcPr>
            <w:tcW w:w="1401" w:type="dxa"/>
          </w:tcPr>
          <w:p w:rsidR="00C13236" w:rsidRPr="0067794B" w:rsidRDefault="00C13236" w:rsidP="000439C1">
            <w:pPr>
              <w:rPr>
                <w:rFonts w:ascii="Times New Roman" w:hAnsi="Times New Roman" w:cs="Times New Roman"/>
                <w:sz w:val="20"/>
                <w:szCs w:val="20"/>
              </w:rPr>
            </w:pPr>
            <w:r w:rsidRPr="0067794B">
              <w:rPr>
                <w:rFonts w:ascii="Times New Roman" w:hAnsi="Times New Roman" w:cs="Times New Roman"/>
                <w:sz w:val="20"/>
                <w:szCs w:val="20"/>
              </w:rPr>
              <w:t>1.000</w:t>
            </w:r>
          </w:p>
        </w:tc>
        <w:tc>
          <w:tcPr>
            <w:tcW w:w="883" w:type="dxa"/>
          </w:tcPr>
          <w:p w:rsidR="00C13236" w:rsidRPr="0067794B" w:rsidRDefault="00C13236" w:rsidP="000439C1">
            <w:pPr>
              <w:rPr>
                <w:rFonts w:ascii="Times New Roman" w:hAnsi="Times New Roman" w:cs="Times New Roman"/>
                <w:sz w:val="20"/>
                <w:szCs w:val="20"/>
              </w:rPr>
            </w:pPr>
          </w:p>
        </w:tc>
      </w:tr>
      <w:tr w:rsidR="00C13236" w:rsidRPr="0067794B" w:rsidTr="000439C1">
        <w:tc>
          <w:tcPr>
            <w:tcW w:w="1543" w:type="dxa"/>
          </w:tcPr>
          <w:p w:rsidR="00C13236" w:rsidRPr="0067794B" w:rsidRDefault="00C13236" w:rsidP="000439C1">
            <w:pPr>
              <w:rPr>
                <w:rFonts w:ascii="Times New Roman" w:hAnsi="Times New Roman" w:cs="Times New Roman"/>
                <w:b/>
                <w:sz w:val="20"/>
                <w:szCs w:val="20"/>
              </w:rPr>
            </w:pPr>
            <w:r>
              <w:rPr>
                <w:rFonts w:ascii="Times New Roman" w:hAnsi="Times New Roman" w:cs="Times New Roman"/>
                <w:sz w:val="24"/>
                <w:szCs w:val="24"/>
              </w:rPr>
              <w:t>project design</w:t>
            </w:r>
          </w:p>
        </w:tc>
        <w:tc>
          <w:tcPr>
            <w:tcW w:w="1411" w:type="dxa"/>
          </w:tcPr>
          <w:p w:rsidR="00C13236" w:rsidRPr="0067794B" w:rsidRDefault="00C13236" w:rsidP="000439C1">
            <w:pPr>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-0.4253</w:t>
            </w:r>
          </w:p>
        </w:tc>
        <w:tc>
          <w:tcPr>
            <w:tcW w:w="1345" w:type="dxa"/>
          </w:tcPr>
          <w:p w:rsidR="00C13236" w:rsidRPr="0067794B" w:rsidRDefault="00C13236" w:rsidP="000439C1">
            <w:pPr>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0.2311</w:t>
            </w:r>
          </w:p>
        </w:tc>
        <w:tc>
          <w:tcPr>
            <w:tcW w:w="1487" w:type="dxa"/>
          </w:tcPr>
          <w:p w:rsidR="00C13236" w:rsidRPr="0067794B" w:rsidRDefault="00C13236" w:rsidP="000439C1">
            <w:pPr>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0.3212</w:t>
            </w:r>
          </w:p>
        </w:tc>
        <w:tc>
          <w:tcPr>
            <w:tcW w:w="1401" w:type="dxa"/>
          </w:tcPr>
          <w:p w:rsidR="00C13236" w:rsidRPr="0067794B" w:rsidRDefault="00C13236" w:rsidP="000439C1">
            <w:pPr>
              <w:rPr>
                <w:rFonts w:ascii="Times New Roman" w:hAnsi="Times New Roman" w:cs="Times New Roman"/>
                <w:sz w:val="20"/>
                <w:szCs w:val="20"/>
              </w:rPr>
            </w:pPr>
            <w:r w:rsidRPr="0067794B">
              <w:rPr>
                <w:rFonts w:ascii="Times New Roman" w:hAnsi="Times New Roman" w:cs="Times New Roman"/>
                <w:sz w:val="20"/>
                <w:szCs w:val="20"/>
              </w:rPr>
              <w:t>0.6212</w:t>
            </w:r>
          </w:p>
        </w:tc>
        <w:tc>
          <w:tcPr>
            <w:tcW w:w="883" w:type="dxa"/>
          </w:tcPr>
          <w:p w:rsidR="00C13236" w:rsidRPr="0067794B" w:rsidRDefault="00C13236" w:rsidP="000439C1">
            <w:pPr>
              <w:rPr>
                <w:rFonts w:ascii="Times New Roman" w:hAnsi="Times New Roman" w:cs="Times New Roman"/>
                <w:sz w:val="20"/>
                <w:szCs w:val="20"/>
              </w:rPr>
            </w:pPr>
            <w:r w:rsidRPr="0067794B">
              <w:rPr>
                <w:rFonts w:ascii="Times New Roman" w:hAnsi="Times New Roman" w:cs="Times New Roman"/>
                <w:sz w:val="20"/>
                <w:szCs w:val="20"/>
              </w:rPr>
              <w:t>1.000</w:t>
            </w:r>
          </w:p>
        </w:tc>
      </w:tr>
    </w:tbl>
    <w:p w:rsidR="00C13236" w:rsidRPr="0067794B" w:rsidRDefault="00C13236" w:rsidP="00C13236">
      <w:pPr>
        <w:spacing w:after="0"/>
        <w:jc w:val="center"/>
        <w:rPr>
          <w:rFonts w:ascii="Times New Roman" w:hAnsi="Times New Roman" w:cs="Times New Roman"/>
          <w:sz w:val="24"/>
          <w:szCs w:val="24"/>
        </w:rPr>
      </w:pPr>
    </w:p>
    <w:p w:rsidR="00C13236" w:rsidRPr="0067794B" w:rsidRDefault="00C13236" w:rsidP="00C13236">
      <w:pPr>
        <w:spacing w:after="0" w:line="360" w:lineRule="auto"/>
        <w:jc w:val="both"/>
        <w:rPr>
          <w:rFonts w:ascii="Times New Roman" w:hAnsi="Times New Roman" w:cs="Times New Roman"/>
          <w:sz w:val="24"/>
          <w:szCs w:val="24"/>
        </w:rPr>
      </w:pPr>
      <w:r w:rsidRPr="0067794B">
        <w:rPr>
          <w:rFonts w:ascii="Times New Roman" w:hAnsi="Times New Roman" w:cs="Times New Roman"/>
          <w:sz w:val="24"/>
          <w:szCs w:val="24"/>
        </w:rPr>
        <w:t>The res</w:t>
      </w:r>
      <w:r>
        <w:rPr>
          <w:rFonts w:ascii="Times New Roman" w:hAnsi="Times New Roman" w:cs="Times New Roman"/>
          <w:sz w:val="24"/>
          <w:szCs w:val="24"/>
        </w:rPr>
        <w:t>ults in Table 4.12 showed that</w:t>
      </w:r>
      <w:r w:rsidRPr="0067794B">
        <w:rPr>
          <w:rFonts w:ascii="Times New Roman" w:hAnsi="Times New Roman" w:cs="Times New Roman"/>
          <w:sz w:val="24"/>
          <w:szCs w:val="24"/>
        </w:rPr>
        <w:t xml:space="preserve"> variables had </w:t>
      </w:r>
      <w:r>
        <w:rPr>
          <w:rFonts w:ascii="Times New Roman" w:hAnsi="Times New Roman" w:cs="Times New Roman"/>
          <w:sz w:val="24"/>
          <w:szCs w:val="24"/>
        </w:rPr>
        <w:t xml:space="preserve">weak to strong </w:t>
      </w:r>
      <w:r w:rsidRPr="0067794B">
        <w:rPr>
          <w:rFonts w:ascii="Times New Roman" w:hAnsi="Times New Roman" w:cs="Times New Roman"/>
          <w:sz w:val="24"/>
          <w:szCs w:val="24"/>
        </w:rPr>
        <w:t>relationship</w:t>
      </w:r>
      <w:r>
        <w:rPr>
          <w:rFonts w:ascii="Times New Roman" w:hAnsi="Times New Roman" w:cs="Times New Roman"/>
          <w:sz w:val="24"/>
          <w:szCs w:val="24"/>
        </w:rPr>
        <w:t>s</w:t>
      </w:r>
      <w:r w:rsidRPr="0067794B">
        <w:rPr>
          <w:rFonts w:ascii="Times New Roman" w:hAnsi="Times New Roman" w:cs="Times New Roman"/>
          <w:sz w:val="24"/>
          <w:szCs w:val="24"/>
        </w:rPr>
        <w:t xml:space="preserve"> in their respective pairs. The relationship between the </w:t>
      </w:r>
      <w:r>
        <w:rPr>
          <w:rFonts w:ascii="Times New Roman" w:hAnsi="Times New Roman" w:cs="Times New Roman"/>
          <w:sz w:val="24"/>
          <w:szCs w:val="24"/>
        </w:rPr>
        <w:t>citizen participation</w:t>
      </w:r>
      <w:r w:rsidRPr="0067794B">
        <w:rPr>
          <w:rFonts w:ascii="Times New Roman" w:hAnsi="Times New Roman" w:cs="Times New Roman"/>
          <w:sz w:val="24"/>
          <w:szCs w:val="24"/>
        </w:rPr>
        <w:t xml:space="preserve"> and </w:t>
      </w:r>
      <w:r>
        <w:rPr>
          <w:rFonts w:ascii="Times New Roman" w:hAnsi="Times New Roman" w:cs="Times New Roman"/>
          <w:sz w:val="24"/>
          <w:szCs w:val="24"/>
        </w:rPr>
        <w:t>delay in completion of projects</w:t>
      </w:r>
      <w:r w:rsidRPr="0067794B">
        <w:rPr>
          <w:rFonts w:ascii="Times New Roman" w:hAnsi="Times New Roman" w:cs="Times New Roman"/>
          <w:sz w:val="24"/>
          <w:szCs w:val="24"/>
        </w:rPr>
        <w:t xml:space="preserve"> was moderate (r=0.4846). The relationship between </w:t>
      </w:r>
      <w:r>
        <w:rPr>
          <w:rFonts w:ascii="Times New Roman" w:hAnsi="Times New Roman" w:cs="Times New Roman"/>
          <w:sz w:val="24"/>
          <w:szCs w:val="24"/>
        </w:rPr>
        <w:t>project financing</w:t>
      </w:r>
      <w:r w:rsidRPr="0067794B">
        <w:rPr>
          <w:rFonts w:ascii="Times New Roman" w:hAnsi="Times New Roman" w:cs="Times New Roman"/>
          <w:sz w:val="24"/>
          <w:szCs w:val="24"/>
        </w:rPr>
        <w:t xml:space="preserve"> and </w:t>
      </w:r>
      <w:r>
        <w:rPr>
          <w:rFonts w:ascii="Times New Roman" w:hAnsi="Times New Roman" w:cs="Times New Roman"/>
          <w:sz w:val="24"/>
          <w:szCs w:val="24"/>
        </w:rPr>
        <w:t>delay in completion of projects</w:t>
      </w:r>
      <w:r w:rsidRPr="0067794B">
        <w:rPr>
          <w:rFonts w:ascii="Times New Roman" w:hAnsi="Times New Roman" w:cs="Times New Roman"/>
          <w:sz w:val="24"/>
          <w:szCs w:val="24"/>
        </w:rPr>
        <w:t xml:space="preserve"> was also moderate (r=0.4499). T</w:t>
      </w:r>
      <w:r>
        <w:rPr>
          <w:rFonts w:ascii="Times New Roman" w:hAnsi="Times New Roman" w:cs="Times New Roman"/>
          <w:sz w:val="24"/>
          <w:szCs w:val="24"/>
        </w:rPr>
        <w:t>he relationship between technical</w:t>
      </w:r>
      <w:r w:rsidRPr="0067794B">
        <w:rPr>
          <w:rFonts w:ascii="Times New Roman" w:hAnsi="Times New Roman" w:cs="Times New Roman"/>
          <w:sz w:val="24"/>
          <w:szCs w:val="24"/>
        </w:rPr>
        <w:t xml:space="preserve"> capacity and </w:t>
      </w:r>
      <w:r>
        <w:rPr>
          <w:rFonts w:ascii="Times New Roman" w:hAnsi="Times New Roman" w:cs="Times New Roman"/>
          <w:sz w:val="24"/>
          <w:szCs w:val="24"/>
        </w:rPr>
        <w:t>delay in completion of projects</w:t>
      </w:r>
      <w:r w:rsidRPr="0067794B">
        <w:rPr>
          <w:rFonts w:ascii="Times New Roman" w:hAnsi="Times New Roman" w:cs="Times New Roman"/>
          <w:sz w:val="24"/>
          <w:szCs w:val="24"/>
        </w:rPr>
        <w:t xml:space="preserve"> was very strong (r=0.8606).There was a negative relationship between the </w:t>
      </w:r>
      <w:r>
        <w:rPr>
          <w:rFonts w:ascii="Times New Roman" w:hAnsi="Times New Roman" w:cs="Times New Roman"/>
          <w:sz w:val="24"/>
          <w:szCs w:val="24"/>
        </w:rPr>
        <w:t>project design</w:t>
      </w:r>
      <w:r w:rsidRPr="0067794B">
        <w:rPr>
          <w:rFonts w:ascii="Times New Roman" w:hAnsi="Times New Roman" w:cs="Times New Roman"/>
          <w:sz w:val="24"/>
          <w:szCs w:val="24"/>
        </w:rPr>
        <w:t xml:space="preserve"> and </w:t>
      </w:r>
      <w:r>
        <w:rPr>
          <w:rFonts w:ascii="Times New Roman" w:hAnsi="Times New Roman" w:cs="Times New Roman"/>
          <w:sz w:val="24"/>
          <w:szCs w:val="24"/>
        </w:rPr>
        <w:t>delay in completion of projects</w:t>
      </w:r>
      <w:r w:rsidRPr="0067794B">
        <w:rPr>
          <w:rFonts w:ascii="Times New Roman" w:hAnsi="Times New Roman" w:cs="Times New Roman"/>
          <w:sz w:val="24"/>
          <w:szCs w:val="24"/>
        </w:rPr>
        <w:t xml:space="preserve"> was moderate (r=-0.4846). The relationship between infrastructural factors and </w:t>
      </w:r>
      <w:r>
        <w:rPr>
          <w:rFonts w:ascii="Times New Roman" w:hAnsi="Times New Roman" w:cs="Times New Roman"/>
          <w:sz w:val="24"/>
          <w:szCs w:val="24"/>
        </w:rPr>
        <w:t>citizen participation</w:t>
      </w:r>
      <w:r w:rsidRPr="0067794B">
        <w:rPr>
          <w:rFonts w:ascii="Times New Roman" w:hAnsi="Times New Roman" w:cs="Times New Roman"/>
          <w:sz w:val="24"/>
          <w:szCs w:val="24"/>
        </w:rPr>
        <w:t xml:space="preserve"> was weak (r=0.3451). Similarly, t</w:t>
      </w:r>
      <w:r>
        <w:rPr>
          <w:rFonts w:ascii="Times New Roman" w:hAnsi="Times New Roman" w:cs="Times New Roman"/>
          <w:sz w:val="24"/>
          <w:szCs w:val="24"/>
        </w:rPr>
        <w:t>echnical</w:t>
      </w:r>
      <w:r w:rsidRPr="0067794B">
        <w:rPr>
          <w:rFonts w:ascii="Times New Roman" w:hAnsi="Times New Roman" w:cs="Times New Roman"/>
          <w:sz w:val="24"/>
          <w:szCs w:val="24"/>
        </w:rPr>
        <w:t xml:space="preserve"> capacity and </w:t>
      </w:r>
      <w:r>
        <w:rPr>
          <w:rFonts w:ascii="Times New Roman" w:hAnsi="Times New Roman" w:cs="Times New Roman"/>
          <w:sz w:val="24"/>
          <w:szCs w:val="24"/>
        </w:rPr>
        <w:t>citizen participation</w:t>
      </w:r>
      <w:r w:rsidRPr="0067794B">
        <w:rPr>
          <w:rFonts w:ascii="Times New Roman" w:hAnsi="Times New Roman" w:cs="Times New Roman"/>
          <w:sz w:val="24"/>
          <w:szCs w:val="24"/>
        </w:rPr>
        <w:t xml:space="preserve"> was found to have a significant and moderating relationship (r=0.4889). The relationship </w:t>
      </w:r>
      <w:r>
        <w:rPr>
          <w:rFonts w:ascii="Times New Roman" w:hAnsi="Times New Roman" w:cs="Times New Roman"/>
          <w:sz w:val="24"/>
          <w:szCs w:val="24"/>
        </w:rPr>
        <w:t>project design</w:t>
      </w:r>
      <w:r w:rsidRPr="0067794B">
        <w:rPr>
          <w:rFonts w:ascii="Times New Roman" w:hAnsi="Times New Roman" w:cs="Times New Roman"/>
          <w:sz w:val="24"/>
          <w:szCs w:val="24"/>
        </w:rPr>
        <w:t xml:space="preserve"> and </w:t>
      </w:r>
      <w:r>
        <w:rPr>
          <w:rFonts w:ascii="Times New Roman" w:hAnsi="Times New Roman" w:cs="Times New Roman"/>
          <w:sz w:val="24"/>
          <w:szCs w:val="24"/>
        </w:rPr>
        <w:t>citizen participation</w:t>
      </w:r>
      <w:r w:rsidRPr="0067794B">
        <w:rPr>
          <w:rFonts w:ascii="Times New Roman" w:hAnsi="Times New Roman" w:cs="Times New Roman"/>
          <w:sz w:val="24"/>
          <w:szCs w:val="24"/>
        </w:rPr>
        <w:t xml:space="preserve"> </w:t>
      </w:r>
      <w:r>
        <w:rPr>
          <w:rFonts w:ascii="Times New Roman" w:hAnsi="Times New Roman" w:cs="Times New Roman"/>
          <w:sz w:val="24"/>
          <w:szCs w:val="24"/>
        </w:rPr>
        <w:t>was very weak (r=0.2311)</w:t>
      </w:r>
      <w:r w:rsidRPr="0067794B">
        <w:rPr>
          <w:rFonts w:ascii="Times New Roman" w:hAnsi="Times New Roman" w:cs="Times New Roman"/>
          <w:sz w:val="24"/>
          <w:szCs w:val="24"/>
        </w:rPr>
        <w:t>.The relationship between t</w:t>
      </w:r>
      <w:r>
        <w:rPr>
          <w:rFonts w:ascii="Times New Roman" w:hAnsi="Times New Roman" w:cs="Times New Roman"/>
          <w:sz w:val="24"/>
          <w:szCs w:val="24"/>
        </w:rPr>
        <w:t>echnical</w:t>
      </w:r>
      <w:r w:rsidRPr="0067794B">
        <w:rPr>
          <w:rFonts w:ascii="Times New Roman" w:hAnsi="Times New Roman" w:cs="Times New Roman"/>
          <w:sz w:val="24"/>
          <w:szCs w:val="24"/>
        </w:rPr>
        <w:t xml:space="preserve"> capacity and </w:t>
      </w:r>
      <w:r>
        <w:rPr>
          <w:rFonts w:ascii="Times New Roman" w:hAnsi="Times New Roman" w:cs="Times New Roman"/>
          <w:sz w:val="24"/>
          <w:szCs w:val="24"/>
        </w:rPr>
        <w:t>project financing</w:t>
      </w:r>
      <w:r w:rsidRPr="0067794B">
        <w:rPr>
          <w:rFonts w:ascii="Times New Roman" w:hAnsi="Times New Roman" w:cs="Times New Roman"/>
          <w:sz w:val="24"/>
          <w:szCs w:val="24"/>
        </w:rPr>
        <w:t xml:space="preserve"> were found to be negatively and had a moderate relationship (r=-4288). The relationship between </w:t>
      </w:r>
      <w:r>
        <w:rPr>
          <w:rFonts w:ascii="Times New Roman" w:hAnsi="Times New Roman" w:cs="Times New Roman"/>
          <w:sz w:val="24"/>
          <w:szCs w:val="24"/>
        </w:rPr>
        <w:t>project design</w:t>
      </w:r>
      <w:r w:rsidRPr="0067794B">
        <w:rPr>
          <w:rFonts w:ascii="Times New Roman" w:hAnsi="Times New Roman" w:cs="Times New Roman"/>
          <w:sz w:val="24"/>
          <w:szCs w:val="24"/>
        </w:rPr>
        <w:t xml:space="preserve"> and </w:t>
      </w:r>
      <w:r>
        <w:rPr>
          <w:rFonts w:ascii="Times New Roman" w:hAnsi="Times New Roman" w:cs="Times New Roman"/>
          <w:sz w:val="24"/>
          <w:szCs w:val="24"/>
        </w:rPr>
        <w:t>project financing</w:t>
      </w:r>
      <w:r w:rsidRPr="0067794B">
        <w:rPr>
          <w:rFonts w:ascii="Times New Roman" w:hAnsi="Times New Roman" w:cs="Times New Roman"/>
          <w:sz w:val="24"/>
          <w:szCs w:val="24"/>
        </w:rPr>
        <w:t xml:space="preserve"> was moderate (r=0.4352).</w:t>
      </w:r>
      <w:r>
        <w:rPr>
          <w:rFonts w:ascii="Times New Roman" w:hAnsi="Times New Roman" w:cs="Times New Roman"/>
          <w:sz w:val="24"/>
          <w:szCs w:val="24"/>
        </w:rPr>
        <w:t xml:space="preserve"> Lastly, t</w:t>
      </w:r>
      <w:r w:rsidRPr="0067794B">
        <w:rPr>
          <w:rFonts w:ascii="Times New Roman" w:hAnsi="Times New Roman" w:cs="Times New Roman"/>
          <w:sz w:val="24"/>
          <w:szCs w:val="24"/>
        </w:rPr>
        <w:t xml:space="preserve">he relationship between teachers’ capacity and teaching and e-learning was strong (r=0.6212). </w:t>
      </w:r>
    </w:p>
    <w:p w:rsidR="00C13236" w:rsidRPr="0067794B" w:rsidRDefault="00C13236" w:rsidP="00C13236">
      <w:pPr>
        <w:spacing w:after="0"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 </w:t>
      </w:r>
    </w:p>
    <w:p w:rsidR="00C13236" w:rsidRPr="0067794B" w:rsidRDefault="00C13236" w:rsidP="00C13236">
      <w:pPr>
        <w:pStyle w:val="Heading3"/>
        <w:rPr>
          <w:rFonts w:cs="Times New Roman"/>
        </w:rPr>
      </w:pPr>
      <w:r w:rsidRPr="0067794B">
        <w:rPr>
          <w:rFonts w:cs="Times New Roman"/>
        </w:rPr>
        <w:t xml:space="preserve">4.7.3 Hypothesis Testing </w:t>
      </w:r>
    </w:p>
    <w:p w:rsidR="00C13236" w:rsidRPr="0067794B" w:rsidRDefault="00C13236" w:rsidP="00C13236">
      <w:pPr>
        <w:spacing w:after="120" w:line="360" w:lineRule="auto"/>
        <w:jc w:val="both"/>
        <w:rPr>
          <w:rFonts w:ascii="Times New Roman" w:hAnsi="Times New Roman" w:cs="Times New Roman"/>
          <w:sz w:val="24"/>
          <w:szCs w:val="24"/>
        </w:rPr>
      </w:pPr>
      <w:r w:rsidRPr="009B6A0E">
        <w:rPr>
          <w:rFonts w:ascii="Times New Roman" w:hAnsi="Times New Roman" w:cs="Times New Roman"/>
          <w:sz w:val="24"/>
          <w:szCs w:val="24"/>
        </w:rPr>
        <w:t xml:space="preserve">To examine the influence of </w:t>
      </w:r>
      <w:r>
        <w:rPr>
          <w:rFonts w:ascii="Times New Roman" w:hAnsi="Times New Roman" w:cs="Times New Roman"/>
          <w:sz w:val="24"/>
          <w:szCs w:val="24"/>
        </w:rPr>
        <w:t xml:space="preserve"> </w:t>
      </w:r>
      <w:r>
        <w:rPr>
          <w:rFonts w:ascii="Times New Roman" w:eastAsia="Times New Roman" w:hAnsi="Times New Roman" w:cs="Times New Roman"/>
          <w:sz w:val="24"/>
          <w:szCs w:val="24"/>
        </w:rPr>
        <w:t>Consumer price index and Exchange rates on the gross domestic product in Tanzania the following hypothesis will guide the test in developing insights on the relationship;-</w:t>
      </w:r>
    </w:p>
    <w:p w:rsidR="00C13236" w:rsidRPr="00F430A7" w:rsidRDefault="00C13236" w:rsidP="00C13236">
      <w:pPr>
        <w:pStyle w:val="ListParagraph"/>
        <w:spacing w:after="60" w:line="360" w:lineRule="auto"/>
        <w:jc w:val="both"/>
        <w:rPr>
          <w:rFonts w:ascii="Times New Roman" w:eastAsia="Times New Roman" w:hAnsi="Times New Roman" w:cs="Times New Roman"/>
          <w:sz w:val="24"/>
          <w:szCs w:val="24"/>
        </w:rPr>
      </w:pPr>
      <w:r w:rsidRPr="0067794B">
        <w:rPr>
          <w:rFonts w:ascii="Times New Roman" w:hAnsi="Times New Roman" w:cs="Times New Roman"/>
          <w:sz w:val="24"/>
          <w:szCs w:val="24"/>
        </w:rPr>
        <w:t>H</w:t>
      </w:r>
      <w:r>
        <w:rPr>
          <w:rFonts w:ascii="Times New Roman" w:hAnsi="Times New Roman" w:cs="Times New Roman"/>
          <w:sz w:val="24"/>
          <w:szCs w:val="24"/>
          <w:vertAlign w:val="subscript"/>
        </w:rPr>
        <w:t xml:space="preserve">01: </w:t>
      </w:r>
      <w:r w:rsidRPr="00F430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Consumer price index has no effect on the gross domestic product in Tanzania.</w:t>
      </w:r>
      <w:r w:rsidRPr="00F430A7">
        <w:rPr>
          <w:rFonts w:ascii="Times New Roman" w:eastAsia="Times New Roman" w:hAnsi="Times New Roman" w:cs="Times New Roman"/>
          <w:sz w:val="24"/>
          <w:szCs w:val="24"/>
        </w:rPr>
        <w:t xml:space="preserve"> </w:t>
      </w:r>
    </w:p>
    <w:p w:rsidR="00C13236" w:rsidRPr="00F430A7" w:rsidRDefault="00C13236" w:rsidP="00C13236">
      <w:pPr>
        <w:pStyle w:val="ListParagraph"/>
        <w:spacing w:after="60" w:line="360" w:lineRule="auto"/>
        <w:jc w:val="both"/>
        <w:rPr>
          <w:rFonts w:ascii="Times New Roman" w:eastAsia="Times New Roman" w:hAnsi="Times New Roman" w:cs="Times New Roman"/>
          <w:sz w:val="24"/>
          <w:szCs w:val="24"/>
        </w:rPr>
      </w:pPr>
      <w:r w:rsidRPr="0067794B">
        <w:rPr>
          <w:rFonts w:ascii="Times New Roman" w:hAnsi="Times New Roman" w:cs="Times New Roman"/>
          <w:sz w:val="24"/>
          <w:szCs w:val="24"/>
        </w:rPr>
        <w:t>H</w:t>
      </w:r>
      <w:r>
        <w:rPr>
          <w:rFonts w:ascii="Times New Roman" w:hAnsi="Times New Roman" w:cs="Times New Roman"/>
          <w:sz w:val="24"/>
          <w:szCs w:val="24"/>
          <w:vertAlign w:val="subscript"/>
        </w:rPr>
        <w:t xml:space="preserve">02: </w:t>
      </w:r>
      <w:r>
        <w:rPr>
          <w:rFonts w:ascii="Times New Roman" w:eastAsia="Times New Roman" w:hAnsi="Times New Roman" w:cs="Times New Roman"/>
          <w:sz w:val="24"/>
          <w:szCs w:val="24"/>
        </w:rPr>
        <w:t>Exchange rates has no effect on the gross domestic product in Tanzania.</w:t>
      </w:r>
    </w:p>
    <w:p w:rsidR="00C13236" w:rsidRPr="00F430A7" w:rsidRDefault="00C13236" w:rsidP="00C13236">
      <w:pPr>
        <w:pStyle w:val="ListParagraph"/>
        <w:spacing w:after="60" w:line="360" w:lineRule="auto"/>
        <w:jc w:val="both"/>
        <w:rPr>
          <w:rFonts w:ascii="Times New Roman" w:eastAsia="Times New Roman" w:hAnsi="Times New Roman" w:cs="Times New Roman"/>
          <w:sz w:val="24"/>
          <w:szCs w:val="24"/>
        </w:rPr>
      </w:pPr>
      <w:r w:rsidRPr="0067794B">
        <w:rPr>
          <w:rFonts w:ascii="Times New Roman" w:hAnsi="Times New Roman" w:cs="Times New Roman"/>
          <w:sz w:val="24"/>
          <w:szCs w:val="24"/>
        </w:rPr>
        <w:t>H</w:t>
      </w:r>
      <w:r>
        <w:rPr>
          <w:rFonts w:ascii="Times New Roman" w:hAnsi="Times New Roman" w:cs="Times New Roman"/>
          <w:sz w:val="24"/>
          <w:szCs w:val="24"/>
          <w:vertAlign w:val="subscript"/>
        </w:rPr>
        <w:t xml:space="preserve">05: </w:t>
      </w:r>
      <w:r>
        <w:rPr>
          <w:rFonts w:ascii="Times New Roman" w:eastAsia="Times New Roman" w:hAnsi="Times New Roman" w:cs="Times New Roman"/>
          <w:sz w:val="24"/>
          <w:szCs w:val="24"/>
        </w:rPr>
        <w:t xml:space="preserve">There is no relationship between regulatory framework and academic performance of secondary schools in </w:t>
      </w:r>
      <w:proofErr w:type="spellStart"/>
      <w:r>
        <w:rPr>
          <w:rFonts w:ascii="Times New Roman" w:eastAsia="Times New Roman" w:hAnsi="Times New Roman" w:cs="Times New Roman"/>
          <w:sz w:val="24"/>
          <w:szCs w:val="24"/>
        </w:rPr>
        <w:t>Kajiado</w:t>
      </w:r>
      <w:proofErr w:type="spellEnd"/>
      <w:r>
        <w:rPr>
          <w:rFonts w:ascii="Times New Roman" w:eastAsia="Times New Roman" w:hAnsi="Times New Roman" w:cs="Times New Roman"/>
          <w:sz w:val="24"/>
          <w:szCs w:val="24"/>
        </w:rPr>
        <w:t xml:space="preserve"> County</w:t>
      </w:r>
    </w:p>
    <w:p w:rsidR="00C13236" w:rsidRPr="0067794B" w:rsidRDefault="00C13236" w:rsidP="00C13236">
      <w:pPr>
        <w:pStyle w:val="Heading4"/>
        <w:rPr>
          <w:rFonts w:cs="Times New Roman"/>
        </w:rPr>
      </w:pPr>
      <w:r w:rsidRPr="0067794B">
        <w:rPr>
          <w:rFonts w:cs="Times New Roman"/>
        </w:rPr>
        <w:lastRenderedPageBreak/>
        <w:t>4.7.3.1 Model Fitness</w:t>
      </w:r>
    </w:p>
    <w:p w:rsidR="00C13236" w:rsidRPr="0067794B" w:rsidRDefault="00C13236" w:rsidP="00C13236">
      <w:pPr>
        <w:spacing w:after="120" w:line="360" w:lineRule="auto"/>
        <w:jc w:val="both"/>
        <w:rPr>
          <w:rFonts w:ascii="Times New Roman" w:hAnsi="Times New Roman" w:cs="Times New Roman"/>
          <w:sz w:val="24"/>
          <w:szCs w:val="24"/>
        </w:rPr>
      </w:pPr>
      <w:r w:rsidRPr="0067794B">
        <w:rPr>
          <w:rFonts w:ascii="Times New Roman" w:hAnsi="Times New Roman" w:cs="Times New Roman"/>
          <w:sz w:val="24"/>
          <w:szCs w:val="24"/>
        </w:rPr>
        <w:t>All the structural factors were subjected to a modelling and from the goodness of fit of the model; it was found that all variables fitted the data well given that the overall p value of 0.000 implied the variables had a joint significanc</w:t>
      </w:r>
      <w:r>
        <w:rPr>
          <w:rFonts w:ascii="Times New Roman" w:hAnsi="Times New Roman" w:cs="Times New Roman"/>
          <w:sz w:val="24"/>
          <w:szCs w:val="24"/>
        </w:rPr>
        <w:t>e in explaining academic</w:t>
      </w:r>
      <w:r w:rsidRPr="0067794B">
        <w:rPr>
          <w:rFonts w:ascii="Times New Roman" w:hAnsi="Times New Roman" w:cs="Times New Roman"/>
          <w:sz w:val="24"/>
          <w:szCs w:val="24"/>
        </w:rPr>
        <w:t xml:space="preserve"> performance for both models. This was also confirmed by other criteria for model fitness such as Root mean squared error of approximation and R squared which was always above 95 percent except hypothesis one which is nevertheless above 85 percent and falls within an acceptable range of above three quarters. The result</w:t>
      </w:r>
      <w:r>
        <w:rPr>
          <w:rFonts w:ascii="Times New Roman" w:hAnsi="Times New Roman" w:cs="Times New Roman"/>
          <w:sz w:val="24"/>
          <w:szCs w:val="24"/>
        </w:rPr>
        <w:t>s are as indicated in table 4.13</w:t>
      </w:r>
      <w:r w:rsidRPr="0067794B">
        <w:rPr>
          <w:rFonts w:ascii="Times New Roman" w:hAnsi="Times New Roman" w:cs="Times New Roman"/>
          <w:sz w:val="24"/>
          <w:szCs w:val="24"/>
        </w:rPr>
        <w:t>.</w:t>
      </w:r>
    </w:p>
    <w:p w:rsidR="00C13236" w:rsidRPr="0067794B" w:rsidRDefault="00C13236" w:rsidP="00C13236">
      <w:pPr>
        <w:pStyle w:val="Caption"/>
        <w:keepNext/>
      </w:pPr>
      <w:bookmarkStart w:id="91" w:name="_Toc510449196"/>
      <w:r>
        <w:t>Table 4.13</w:t>
      </w:r>
      <w:r w:rsidRPr="0067794B">
        <w:t>: Goodness of Model Fitness</w:t>
      </w:r>
      <w:bookmarkEnd w:id="91"/>
    </w:p>
    <w:tbl>
      <w:tblPr>
        <w:tblW w:w="7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3465"/>
        <w:gridCol w:w="2029"/>
      </w:tblGrid>
      <w:tr w:rsidR="00C13236" w:rsidRPr="0067794B" w:rsidTr="000439C1">
        <w:trPr>
          <w:trHeight w:val="524"/>
        </w:trPr>
        <w:tc>
          <w:tcPr>
            <w:tcW w:w="0" w:type="auto"/>
          </w:tcPr>
          <w:p w:rsidR="00C13236" w:rsidRPr="0067794B" w:rsidRDefault="00C13236" w:rsidP="000439C1">
            <w:pPr>
              <w:spacing w:after="0" w:line="240" w:lineRule="auto"/>
              <w:rPr>
                <w:rFonts w:ascii="Times New Roman" w:hAnsi="Times New Roman" w:cs="Times New Roman"/>
                <w:b/>
                <w:sz w:val="20"/>
                <w:szCs w:val="20"/>
              </w:rPr>
            </w:pPr>
            <w:r w:rsidRPr="0067794B">
              <w:rPr>
                <w:rFonts w:ascii="Times New Roman" w:hAnsi="Times New Roman" w:cs="Times New Roman"/>
                <w:b/>
                <w:sz w:val="20"/>
                <w:szCs w:val="20"/>
              </w:rPr>
              <w:t>Fit Statistic</w:t>
            </w:r>
          </w:p>
        </w:tc>
        <w:tc>
          <w:tcPr>
            <w:tcW w:w="0" w:type="auto"/>
          </w:tcPr>
          <w:p w:rsidR="00C13236" w:rsidRPr="0067794B" w:rsidRDefault="00C13236" w:rsidP="000439C1">
            <w:pPr>
              <w:spacing w:after="0" w:line="240" w:lineRule="auto"/>
              <w:rPr>
                <w:rFonts w:ascii="Times New Roman" w:hAnsi="Times New Roman" w:cs="Times New Roman"/>
                <w:b/>
                <w:sz w:val="20"/>
                <w:szCs w:val="20"/>
              </w:rPr>
            </w:pPr>
            <w:r w:rsidRPr="0067794B">
              <w:rPr>
                <w:rFonts w:ascii="Times New Roman" w:hAnsi="Times New Roman" w:cs="Times New Roman"/>
                <w:b/>
                <w:sz w:val="20"/>
                <w:szCs w:val="20"/>
              </w:rPr>
              <w:t>Description</w:t>
            </w:r>
          </w:p>
        </w:tc>
        <w:tc>
          <w:tcPr>
            <w:tcW w:w="2029" w:type="dxa"/>
          </w:tcPr>
          <w:p w:rsidR="00C13236" w:rsidRPr="0067794B" w:rsidRDefault="00C13236" w:rsidP="000439C1">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Value </w:t>
            </w:r>
          </w:p>
        </w:tc>
      </w:tr>
      <w:tr w:rsidR="00C13236" w:rsidRPr="0067794B" w:rsidTr="000439C1">
        <w:trPr>
          <w:trHeight w:val="278"/>
        </w:trPr>
        <w:tc>
          <w:tcPr>
            <w:tcW w:w="0" w:type="auto"/>
            <w:hideMark/>
          </w:tcPr>
          <w:p w:rsidR="00C13236" w:rsidRPr="0067794B" w:rsidRDefault="00C13236" w:rsidP="000439C1">
            <w:pPr>
              <w:spacing w:after="0" w:line="240" w:lineRule="auto"/>
              <w:rPr>
                <w:rFonts w:ascii="Times New Roman" w:eastAsia="Times New Roman" w:hAnsi="Times New Roman" w:cs="Times New Roman"/>
                <w:b/>
                <w:sz w:val="20"/>
                <w:szCs w:val="20"/>
                <w:lang w:eastAsia="en-GB"/>
              </w:rPr>
            </w:pPr>
            <w:r w:rsidRPr="0067794B">
              <w:rPr>
                <w:rFonts w:ascii="Times New Roman" w:eastAsia="Times New Roman" w:hAnsi="Times New Roman" w:cs="Times New Roman"/>
                <w:b/>
                <w:sz w:val="20"/>
                <w:szCs w:val="20"/>
                <w:lang w:eastAsia="en-GB"/>
              </w:rPr>
              <w:t>Baseline Comparison</w:t>
            </w:r>
          </w:p>
        </w:tc>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p>
        </w:tc>
        <w:tc>
          <w:tcPr>
            <w:tcW w:w="2029" w:type="dxa"/>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p>
        </w:tc>
      </w:tr>
      <w:tr w:rsidR="00C13236" w:rsidRPr="0067794B" w:rsidTr="000439C1">
        <w:trPr>
          <w:trHeight w:val="294"/>
        </w:trPr>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CFI</w:t>
            </w:r>
          </w:p>
        </w:tc>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Comparative Fit Index</w:t>
            </w:r>
          </w:p>
        </w:tc>
        <w:tc>
          <w:tcPr>
            <w:tcW w:w="2029" w:type="dxa"/>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21234.215</w:t>
            </w:r>
          </w:p>
        </w:tc>
      </w:tr>
      <w:tr w:rsidR="00C13236" w:rsidRPr="0067794B" w:rsidTr="000439C1">
        <w:trPr>
          <w:trHeight w:val="278"/>
        </w:trPr>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TLI</w:t>
            </w:r>
          </w:p>
        </w:tc>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Tucker-Lewis index</w:t>
            </w:r>
          </w:p>
        </w:tc>
        <w:tc>
          <w:tcPr>
            <w:tcW w:w="2029" w:type="dxa"/>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21577.969</w:t>
            </w:r>
          </w:p>
        </w:tc>
      </w:tr>
      <w:tr w:rsidR="00C13236" w:rsidRPr="0067794B" w:rsidTr="000439C1">
        <w:trPr>
          <w:trHeight w:val="294"/>
        </w:trPr>
        <w:tc>
          <w:tcPr>
            <w:tcW w:w="0" w:type="auto"/>
            <w:hideMark/>
          </w:tcPr>
          <w:p w:rsidR="00C13236" w:rsidRPr="0067794B" w:rsidRDefault="00C13236" w:rsidP="000439C1">
            <w:pPr>
              <w:spacing w:after="0" w:line="240" w:lineRule="auto"/>
              <w:rPr>
                <w:rFonts w:ascii="Times New Roman" w:eastAsia="Times New Roman" w:hAnsi="Times New Roman" w:cs="Times New Roman"/>
                <w:b/>
                <w:sz w:val="20"/>
                <w:szCs w:val="20"/>
                <w:lang w:eastAsia="en-GB"/>
              </w:rPr>
            </w:pPr>
            <w:r w:rsidRPr="0067794B">
              <w:rPr>
                <w:rFonts w:ascii="Times New Roman" w:eastAsia="Times New Roman" w:hAnsi="Times New Roman" w:cs="Times New Roman"/>
                <w:b/>
                <w:sz w:val="20"/>
                <w:szCs w:val="20"/>
                <w:lang w:eastAsia="en-GB"/>
              </w:rPr>
              <w:t>Size of Residuals</w:t>
            </w:r>
          </w:p>
        </w:tc>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p>
        </w:tc>
        <w:tc>
          <w:tcPr>
            <w:tcW w:w="2029" w:type="dxa"/>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p>
        </w:tc>
      </w:tr>
      <w:tr w:rsidR="00C13236" w:rsidRPr="0067794B" w:rsidTr="000439C1">
        <w:trPr>
          <w:trHeight w:val="278"/>
        </w:trPr>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SRMR</w:t>
            </w:r>
          </w:p>
        </w:tc>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Standardized Root Mean Squared Residual</w:t>
            </w:r>
          </w:p>
        </w:tc>
        <w:tc>
          <w:tcPr>
            <w:tcW w:w="2029" w:type="dxa"/>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0.272</w:t>
            </w:r>
          </w:p>
        </w:tc>
      </w:tr>
      <w:tr w:rsidR="00C13236" w:rsidRPr="0067794B" w:rsidTr="000439C1">
        <w:trPr>
          <w:trHeight w:val="278"/>
        </w:trPr>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CD</w:t>
            </w:r>
          </w:p>
        </w:tc>
        <w:tc>
          <w:tcPr>
            <w:tcW w:w="0" w:type="auto"/>
            <w:hideMark/>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Coefficient of Determination</w:t>
            </w:r>
          </w:p>
        </w:tc>
        <w:tc>
          <w:tcPr>
            <w:tcW w:w="2029" w:type="dxa"/>
          </w:tcPr>
          <w:p w:rsidR="00C13236" w:rsidRPr="0067794B" w:rsidRDefault="00C13236" w:rsidP="000439C1">
            <w:pPr>
              <w:spacing w:after="0" w:line="240" w:lineRule="auto"/>
              <w:rPr>
                <w:rFonts w:ascii="Times New Roman" w:eastAsia="Times New Roman" w:hAnsi="Times New Roman" w:cs="Times New Roman"/>
                <w:sz w:val="20"/>
                <w:szCs w:val="20"/>
                <w:lang w:eastAsia="en-GB"/>
              </w:rPr>
            </w:pPr>
            <w:r w:rsidRPr="0067794B">
              <w:rPr>
                <w:rFonts w:ascii="Times New Roman" w:eastAsia="Times New Roman" w:hAnsi="Times New Roman" w:cs="Times New Roman"/>
                <w:sz w:val="20"/>
                <w:szCs w:val="20"/>
                <w:lang w:eastAsia="en-GB"/>
              </w:rPr>
              <w:t>0.998</w:t>
            </w:r>
          </w:p>
        </w:tc>
      </w:tr>
    </w:tbl>
    <w:p w:rsidR="00C13236" w:rsidRPr="0067794B" w:rsidRDefault="00C13236" w:rsidP="00C13236">
      <w:pPr>
        <w:spacing w:after="0"/>
        <w:rPr>
          <w:rFonts w:ascii="Times New Roman" w:hAnsi="Times New Roman" w:cs="Times New Roman"/>
          <w:b/>
          <w:sz w:val="24"/>
          <w:szCs w:val="24"/>
        </w:rPr>
      </w:pPr>
    </w:p>
    <w:p w:rsidR="00C13236"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From </w:t>
      </w:r>
      <w:r>
        <w:rPr>
          <w:rFonts w:ascii="Times New Roman" w:hAnsi="Times New Roman" w:cs="Times New Roman"/>
          <w:sz w:val="24"/>
          <w:szCs w:val="24"/>
        </w:rPr>
        <w:t>the fit statistics in Table 4.13</w:t>
      </w:r>
      <w:r w:rsidRPr="0067794B">
        <w:rPr>
          <w:rFonts w:ascii="Times New Roman" w:hAnsi="Times New Roman" w:cs="Times New Roman"/>
          <w:sz w:val="24"/>
          <w:szCs w:val="24"/>
        </w:rPr>
        <w:t xml:space="preserve">, it the study concludes that estimation of the model or the four hypotheses could proceed and that estimates are not biased. This outcome does not have any effect before and after the introduction of moderating variable. </w:t>
      </w:r>
    </w:p>
    <w:p w:rsidR="00C13236" w:rsidRPr="0067794B" w:rsidRDefault="00C13236" w:rsidP="00C13236">
      <w:pPr>
        <w:pStyle w:val="Heading4"/>
        <w:rPr>
          <w:rFonts w:cs="Times New Roman"/>
        </w:rPr>
      </w:pPr>
      <w:r>
        <w:rPr>
          <w:rFonts w:cs="Times New Roman"/>
        </w:rPr>
        <w:t>4.7.3.2</w:t>
      </w:r>
      <w:r w:rsidRPr="0067794B">
        <w:rPr>
          <w:rFonts w:cs="Times New Roman"/>
        </w:rPr>
        <w:t xml:space="preserve"> </w:t>
      </w:r>
      <w:r>
        <w:rPr>
          <w:rFonts w:cs="Times New Roman"/>
        </w:rPr>
        <w:t xml:space="preserve">Regression Analysis </w:t>
      </w:r>
    </w:p>
    <w:p w:rsidR="00C13236" w:rsidRPr="0067794B" w:rsidRDefault="00C13236" w:rsidP="00C13236">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w:t>
      </w:r>
      <w:r w:rsidRPr="00F430A7">
        <w:rPr>
          <w:rFonts w:ascii="Times New Roman" w:eastAsia="Times New Roman" w:hAnsi="Times New Roman" w:cs="Times New Roman"/>
          <w:sz w:val="24"/>
          <w:szCs w:val="24"/>
        </w:rPr>
        <w:t xml:space="preserve"> study is to examine the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 xml:space="preserve">infrastructure projects in </w:t>
      </w:r>
      <w:proofErr w:type="spellStart"/>
      <w:r w:rsidRPr="009B6A0E">
        <w:rPr>
          <w:rFonts w:ascii="Times New Roman" w:hAnsi="Times New Roman" w:cs="Times New Roman"/>
          <w:sz w:val="24"/>
          <w:szCs w:val="24"/>
        </w:rPr>
        <w:t>Bomet</w:t>
      </w:r>
      <w:proofErr w:type="spellEnd"/>
      <w:r w:rsidRPr="009B6A0E">
        <w:rPr>
          <w:rFonts w:ascii="Times New Roman" w:hAnsi="Times New Roman" w:cs="Times New Roman"/>
          <w:sz w:val="24"/>
          <w:szCs w:val="24"/>
        </w:rPr>
        <w:t xml:space="preserve"> County</w:t>
      </w:r>
      <w:r w:rsidRPr="00F430A7">
        <w:rPr>
          <w:rFonts w:ascii="Times New Roman" w:eastAsia="Times New Roman" w:hAnsi="Times New Roman" w:cs="Times New Roman"/>
          <w:sz w:val="24"/>
          <w:szCs w:val="24"/>
        </w:rPr>
        <w:t>, Kenya</w:t>
      </w:r>
      <w:r>
        <w:rPr>
          <w:rFonts w:ascii="Times New Roman" w:eastAsia="Times New Roman" w:hAnsi="Times New Roman" w:cs="Times New Roman"/>
          <w:sz w:val="24"/>
          <w:szCs w:val="24"/>
        </w:rPr>
        <w:t xml:space="preserve">. The study explored how </w:t>
      </w:r>
      <w:r>
        <w:rPr>
          <w:rFonts w:ascii="Times New Roman" w:hAnsi="Times New Roman" w:cs="Times New Roman"/>
          <w:sz w:val="24"/>
          <w:szCs w:val="24"/>
        </w:rPr>
        <w:t xml:space="preserve">citizen participation, project financing, technical capacity and project design in the </w:t>
      </w:r>
      <w:r w:rsidRPr="009B6A0E">
        <w:rPr>
          <w:rFonts w:ascii="Times New Roman" w:hAnsi="Times New Roman" w:cs="Times New Roman"/>
          <w:sz w:val="24"/>
          <w:szCs w:val="24"/>
        </w:rPr>
        <w:t>influence of community involvement on 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infrastructure projects</w:t>
      </w:r>
      <w:r w:rsidRPr="00251EDB">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Bomet</w:t>
      </w:r>
      <w:proofErr w:type="spellEnd"/>
      <w:r w:rsidRPr="00251EDB">
        <w:rPr>
          <w:rFonts w:ascii="Times New Roman" w:eastAsia="Times New Roman" w:hAnsi="Times New Roman" w:cs="Times New Roman"/>
          <w:sz w:val="24"/>
          <w:szCs w:val="24"/>
        </w:rPr>
        <w:t xml:space="preserve"> County. </w:t>
      </w:r>
      <w:r w:rsidRPr="0067794B">
        <w:rPr>
          <w:rFonts w:ascii="Times New Roman" w:hAnsi="Times New Roman" w:cs="Times New Roman"/>
          <w:sz w:val="24"/>
          <w:szCs w:val="24"/>
        </w:rPr>
        <w:t xml:space="preserve">The study findings are as shown in table 4.18. </w:t>
      </w:r>
    </w:p>
    <w:p w:rsidR="00C13236" w:rsidRPr="0067794B" w:rsidRDefault="00C13236" w:rsidP="00C13236">
      <w:pPr>
        <w:pStyle w:val="Caption"/>
        <w:keepNext/>
      </w:pPr>
      <w:r w:rsidRPr="0067794B">
        <w:t>Table 4.</w:t>
      </w:r>
      <w:r>
        <w:t>15</w:t>
      </w:r>
      <w:r w:rsidRPr="0067794B">
        <w:t xml:space="preserve">: Standardized </w:t>
      </w:r>
      <w:r>
        <w:t>Structural Model</w:t>
      </w:r>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31"/>
        <w:gridCol w:w="1148"/>
        <w:gridCol w:w="1864"/>
        <w:gridCol w:w="2085"/>
      </w:tblGrid>
      <w:tr w:rsidR="00C13236" w:rsidRPr="0067794B" w:rsidTr="000439C1">
        <w:trPr>
          <w:trHeight w:val="340"/>
        </w:trPr>
        <w:tc>
          <w:tcPr>
            <w:tcW w:w="9104" w:type="dxa"/>
            <w:gridSpan w:val="5"/>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Number of Observations = 238</w:t>
            </w:r>
          </w:p>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Estimation Method = ml</w:t>
            </w:r>
          </w:p>
          <w:p w:rsidR="00C13236" w:rsidRPr="0067794B" w:rsidRDefault="00C13236" w:rsidP="000439C1">
            <w:pPr>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Log likelihood     = -10518.107</w:t>
            </w:r>
          </w:p>
        </w:tc>
      </w:tr>
      <w:tr w:rsidR="00C13236" w:rsidRPr="0067794B" w:rsidTr="000439C1">
        <w:trPr>
          <w:trHeight w:val="340"/>
        </w:trPr>
        <w:tc>
          <w:tcPr>
            <w:tcW w:w="2276"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Delay in projects</w:t>
            </w:r>
          </w:p>
        </w:tc>
        <w:tc>
          <w:tcPr>
            <w:tcW w:w="1731"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 xml:space="preserve">Coefficients </w:t>
            </w:r>
          </w:p>
        </w:tc>
        <w:tc>
          <w:tcPr>
            <w:tcW w:w="1148"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 value</w:t>
            </w:r>
          </w:p>
        </w:tc>
        <w:tc>
          <w:tcPr>
            <w:tcW w:w="3949" w:type="dxa"/>
            <w:gridSpan w:val="2"/>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 xml:space="preserve">Confidence Interval </w:t>
            </w:r>
          </w:p>
        </w:tc>
      </w:tr>
      <w:tr w:rsidR="00C13236" w:rsidRPr="0067794B" w:rsidTr="000439C1">
        <w:trPr>
          <w:trHeight w:val="612"/>
        </w:trPr>
        <w:tc>
          <w:tcPr>
            <w:tcW w:w="2276"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sz w:val="24"/>
                <w:szCs w:val="24"/>
                <w:lang w:eastAsia="en-GB"/>
              </w:rPr>
              <w:t>Citizen participation</w:t>
            </w:r>
          </w:p>
        </w:tc>
        <w:tc>
          <w:tcPr>
            <w:tcW w:w="1731"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-0.1415</w:t>
            </w:r>
          </w:p>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(-1.87)</w:t>
            </w:r>
          </w:p>
        </w:tc>
        <w:tc>
          <w:tcPr>
            <w:tcW w:w="1148"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0.062</w:t>
            </w:r>
          </w:p>
        </w:tc>
        <w:tc>
          <w:tcPr>
            <w:tcW w:w="1864"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 xml:space="preserve">-0.2902  </w:t>
            </w:r>
          </w:p>
        </w:tc>
        <w:tc>
          <w:tcPr>
            <w:tcW w:w="2085"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0.0072</w:t>
            </w:r>
          </w:p>
        </w:tc>
      </w:tr>
      <w:tr w:rsidR="00C13236" w:rsidRPr="0067794B" w:rsidTr="000439C1">
        <w:trPr>
          <w:trHeight w:val="612"/>
        </w:trPr>
        <w:tc>
          <w:tcPr>
            <w:tcW w:w="2276" w:type="dxa"/>
          </w:tcPr>
          <w:p w:rsidR="00C13236" w:rsidRPr="0067794B" w:rsidRDefault="00C13236" w:rsidP="000439C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rPr>
              <w:t>Project financing</w:t>
            </w:r>
          </w:p>
        </w:tc>
        <w:tc>
          <w:tcPr>
            <w:tcW w:w="1731"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0.1507**</w:t>
            </w:r>
          </w:p>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(2.13)</w:t>
            </w:r>
          </w:p>
        </w:tc>
        <w:tc>
          <w:tcPr>
            <w:tcW w:w="1148"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0.033</w:t>
            </w:r>
          </w:p>
        </w:tc>
        <w:tc>
          <w:tcPr>
            <w:tcW w:w="1864"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0.0119</w:t>
            </w:r>
          </w:p>
        </w:tc>
        <w:tc>
          <w:tcPr>
            <w:tcW w:w="2085"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0.2895</w:t>
            </w:r>
          </w:p>
        </w:tc>
      </w:tr>
      <w:tr w:rsidR="00C13236" w:rsidRPr="0067794B" w:rsidTr="000439C1">
        <w:trPr>
          <w:trHeight w:val="612"/>
        </w:trPr>
        <w:tc>
          <w:tcPr>
            <w:tcW w:w="2276" w:type="dxa"/>
          </w:tcPr>
          <w:p w:rsidR="00C13236" w:rsidRPr="0067794B" w:rsidRDefault="00C13236" w:rsidP="000439C1">
            <w:pPr>
              <w:spacing w:after="0" w:line="240" w:lineRule="auto"/>
              <w:rPr>
                <w:rFonts w:ascii="Times New Roman" w:eastAsia="Times New Roman" w:hAnsi="Times New Roman" w:cs="Times New Roman"/>
                <w:sz w:val="24"/>
                <w:szCs w:val="24"/>
                <w:lang w:eastAsia="en-GB"/>
              </w:rPr>
            </w:pPr>
            <w:r w:rsidRPr="00251EDB">
              <w:rPr>
                <w:rFonts w:ascii="Times New Roman" w:eastAsia="Times New Roman" w:hAnsi="Times New Roman" w:cs="Times New Roman"/>
                <w:sz w:val="24"/>
                <w:szCs w:val="24"/>
              </w:rPr>
              <w:lastRenderedPageBreak/>
              <w:t>Te</w:t>
            </w:r>
            <w:r>
              <w:rPr>
                <w:rFonts w:ascii="Times New Roman" w:eastAsia="Times New Roman" w:hAnsi="Times New Roman" w:cs="Times New Roman"/>
                <w:sz w:val="24"/>
                <w:szCs w:val="24"/>
              </w:rPr>
              <w:t>chnical capacity</w:t>
            </w:r>
          </w:p>
        </w:tc>
        <w:tc>
          <w:tcPr>
            <w:tcW w:w="1731"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0.9220**</w:t>
            </w:r>
          </w:p>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(35.60)</w:t>
            </w:r>
          </w:p>
        </w:tc>
        <w:tc>
          <w:tcPr>
            <w:tcW w:w="1148"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0.000</w:t>
            </w:r>
          </w:p>
        </w:tc>
        <w:tc>
          <w:tcPr>
            <w:tcW w:w="1864"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 xml:space="preserve">0.8713    </w:t>
            </w:r>
          </w:p>
        </w:tc>
        <w:tc>
          <w:tcPr>
            <w:tcW w:w="2085"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sidRPr="0067794B">
              <w:rPr>
                <w:rFonts w:ascii="Times New Roman" w:eastAsia="Times New Roman" w:hAnsi="Times New Roman" w:cs="Times New Roman"/>
                <w:b/>
                <w:sz w:val="24"/>
                <w:szCs w:val="24"/>
                <w:lang w:eastAsia="en-GB"/>
              </w:rPr>
              <w:t>0.9728</w:t>
            </w:r>
          </w:p>
        </w:tc>
      </w:tr>
      <w:tr w:rsidR="00C13236" w:rsidRPr="0067794B" w:rsidTr="000439C1">
        <w:trPr>
          <w:trHeight w:val="612"/>
        </w:trPr>
        <w:tc>
          <w:tcPr>
            <w:tcW w:w="2276" w:type="dxa"/>
          </w:tcPr>
          <w:p w:rsidR="00C13236" w:rsidRPr="0067794B" w:rsidRDefault="00C13236" w:rsidP="000439C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rPr>
              <w:t>Project design</w:t>
            </w:r>
            <w:r w:rsidRPr="00251EDB">
              <w:rPr>
                <w:rFonts w:ascii="Times New Roman" w:eastAsia="Times New Roman" w:hAnsi="Times New Roman" w:cs="Times New Roman"/>
                <w:sz w:val="24"/>
                <w:szCs w:val="24"/>
              </w:rPr>
              <w:t xml:space="preserve"> </w:t>
            </w:r>
          </w:p>
        </w:tc>
        <w:tc>
          <w:tcPr>
            <w:tcW w:w="1731" w:type="dxa"/>
          </w:tcPr>
          <w:p w:rsidR="00C13236"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-0.0508</w:t>
            </w:r>
          </w:p>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(-0.76)</w:t>
            </w:r>
          </w:p>
        </w:tc>
        <w:tc>
          <w:tcPr>
            <w:tcW w:w="1148"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0.445</w:t>
            </w:r>
          </w:p>
        </w:tc>
        <w:tc>
          <w:tcPr>
            <w:tcW w:w="1864"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-0.1811</w:t>
            </w:r>
          </w:p>
        </w:tc>
        <w:tc>
          <w:tcPr>
            <w:tcW w:w="2085" w:type="dxa"/>
          </w:tcPr>
          <w:p w:rsidR="00C13236" w:rsidRPr="0067794B" w:rsidRDefault="00C13236" w:rsidP="000439C1">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0.0795</w:t>
            </w:r>
          </w:p>
        </w:tc>
      </w:tr>
    </w:tbl>
    <w:p w:rsidR="00C13236" w:rsidRPr="0067794B" w:rsidRDefault="00C13236" w:rsidP="00C13236">
      <w:pPr>
        <w:spacing w:after="0" w:line="240" w:lineRule="auto"/>
        <w:jc w:val="center"/>
        <w:rPr>
          <w:rFonts w:ascii="Times New Roman" w:hAnsi="Times New Roman" w:cs="Times New Roman"/>
          <w:b/>
          <w:sz w:val="24"/>
          <w:szCs w:val="24"/>
        </w:rPr>
      </w:pPr>
      <w:r w:rsidRPr="0067794B">
        <w:rPr>
          <w:rFonts w:ascii="Times New Roman" w:hAnsi="Times New Roman" w:cs="Times New Roman"/>
          <w:b/>
          <w:sz w:val="24"/>
          <w:szCs w:val="24"/>
        </w:rPr>
        <w:t>**Significance level of 5 percent</w:t>
      </w:r>
    </w:p>
    <w:p w:rsidR="00C13236" w:rsidRPr="0067794B" w:rsidRDefault="00C13236" w:rsidP="00C13236">
      <w:pPr>
        <w:spacing w:line="240" w:lineRule="auto"/>
        <w:jc w:val="center"/>
        <w:rPr>
          <w:rFonts w:ascii="Times New Roman" w:hAnsi="Times New Roman" w:cs="Times New Roman"/>
          <w:b/>
          <w:sz w:val="24"/>
          <w:szCs w:val="24"/>
        </w:rPr>
      </w:pPr>
      <w:r w:rsidRPr="0067794B">
        <w:rPr>
          <w:rFonts w:ascii="Times New Roman" w:hAnsi="Times New Roman" w:cs="Times New Roman"/>
          <w:b/>
          <w:sz w:val="24"/>
          <w:szCs w:val="24"/>
        </w:rPr>
        <w:t>#Values in the parentheses show t statistics</w:t>
      </w:r>
    </w:p>
    <w:p w:rsidR="00C13236" w:rsidRDefault="00C13236" w:rsidP="00C13236">
      <w:pPr>
        <w:spacing w:line="360" w:lineRule="auto"/>
        <w:jc w:val="both"/>
        <w:rPr>
          <w:rFonts w:ascii="Times New Roman" w:hAnsi="Times New Roman" w:cs="Times New Roman"/>
          <w:sz w:val="24"/>
          <w:szCs w:val="24"/>
        </w:rPr>
      </w:pPr>
      <w:r w:rsidRPr="0067794B">
        <w:rPr>
          <w:rFonts w:ascii="Times New Roman" w:hAnsi="Times New Roman" w:cs="Times New Roman"/>
          <w:sz w:val="24"/>
          <w:szCs w:val="24"/>
        </w:rPr>
        <w:t xml:space="preserve">From the results in the Table 4.18, </w:t>
      </w:r>
      <w:r>
        <w:rPr>
          <w:rFonts w:ascii="Times New Roman" w:hAnsi="Times New Roman" w:cs="Times New Roman"/>
          <w:sz w:val="24"/>
          <w:szCs w:val="24"/>
        </w:rPr>
        <w:t>the unit increase in citizen participation resulted to a non-significant corresponding decline in delay in projects by 0.1415 holding other factors constant. The findings revealed that unit increase in project financing result to a significant corresponding rise in delay in projects by 0.1507 holding other factors constant. On the other hand, a unit increase in technical capacity give rise to a very significant corresponding rise in delay in projects by 0.9220 holding other factors constant. Finally, the findings further showed</w:t>
      </w:r>
      <w:r w:rsidRPr="00AB6DA2">
        <w:rPr>
          <w:rFonts w:ascii="Times New Roman" w:hAnsi="Times New Roman" w:cs="Times New Roman"/>
          <w:sz w:val="24"/>
          <w:szCs w:val="24"/>
        </w:rPr>
        <w:t xml:space="preserve"> </w:t>
      </w:r>
      <w:r>
        <w:rPr>
          <w:rFonts w:ascii="Times New Roman" w:hAnsi="Times New Roman" w:cs="Times New Roman"/>
          <w:sz w:val="24"/>
          <w:szCs w:val="24"/>
        </w:rPr>
        <w:t xml:space="preserve">that unit increase in project design led to a non-significant corresponding reduction in delay in projects by 0.0508 holding other factors constant. However, the effect was not statistically significant.  </w:t>
      </w:r>
      <w:r w:rsidRPr="0067794B">
        <w:rPr>
          <w:rFonts w:ascii="Times New Roman" w:hAnsi="Times New Roman" w:cs="Times New Roman"/>
          <w:sz w:val="24"/>
          <w:szCs w:val="24"/>
        </w:rPr>
        <w:t xml:space="preserve">The following was the estimated model; </w:t>
      </w:r>
    </w:p>
    <w:p w:rsidR="00C13236" w:rsidRPr="0067794B" w:rsidRDefault="00C13236" w:rsidP="00C13236">
      <w:pPr>
        <w:spacing w:line="360" w:lineRule="auto"/>
        <w:jc w:val="both"/>
        <w:rPr>
          <w:rFonts w:ascii="Times New Roman" w:hAnsi="Times New Roman" w:cs="Times New Roman"/>
          <w:sz w:val="24"/>
          <w:szCs w:val="24"/>
        </w:rPr>
      </w:pPr>
    </w:p>
    <w:p w:rsidR="00C13236" w:rsidRPr="00C330DF" w:rsidRDefault="00C13236" w:rsidP="00C13236">
      <w:pPr>
        <w:rPr>
          <w:rFonts w:ascii="Times New Roman" w:eastAsiaTheme="minorEastAsia" w:hAnsi="Times New Roman" w:cs="Times New Roman"/>
          <w:sz w:val="28"/>
          <w:szCs w:val="24"/>
        </w:rPr>
      </w:pPr>
      <m:oMath>
        <m:r>
          <w:rPr>
            <w:rFonts w:ascii="Cambria Math" w:hAnsi="Cambria Math" w:cs="Times New Roman"/>
            <w:sz w:val="24"/>
            <w:szCs w:val="24"/>
          </w:rPr>
          <m:t>DP=-0.1415CP+0.1507PF+0.9220TC</m:t>
        </m:r>
        <m:r>
          <w:rPr>
            <w:rFonts w:ascii="Cambria Math" w:eastAsiaTheme="minorEastAsia" w:hAnsi="Cambria Math" w:cs="Times New Roman"/>
            <w:sz w:val="24"/>
            <w:szCs w:val="24"/>
          </w:rPr>
          <m:t>-0.0508PD</m:t>
        </m:r>
      </m:oMath>
      <w:r w:rsidRPr="00C330DF">
        <w:rPr>
          <w:rFonts w:ascii="Times New Roman" w:eastAsiaTheme="minorEastAsia" w:hAnsi="Times New Roman" w:cs="Times New Roman"/>
          <w:sz w:val="24"/>
          <w:szCs w:val="24"/>
        </w:rPr>
        <w:t>…</w:t>
      </w:r>
      <w:r w:rsidRPr="00C330DF">
        <w:rPr>
          <w:rFonts w:ascii="Times New Roman" w:eastAsiaTheme="minorEastAsia" w:hAnsi="Times New Roman" w:cs="Times New Roman"/>
          <w:sz w:val="28"/>
          <w:szCs w:val="24"/>
        </w:rPr>
        <w:t>………….. 4.1</w:t>
      </w:r>
    </w:p>
    <w:p w:rsidR="00C13236" w:rsidRPr="0067794B" w:rsidRDefault="00C13236" w:rsidP="00C13236">
      <w:pPr>
        <w:rPr>
          <w:rFonts w:ascii="Times New Roman" w:hAnsi="Times New Roman" w:cs="Times New Roman"/>
          <w:sz w:val="24"/>
          <w:szCs w:val="24"/>
        </w:rPr>
      </w:pPr>
    </w:p>
    <w:p w:rsidR="00C13236" w:rsidRDefault="00C13236" w:rsidP="00C13236">
      <w:pPr>
        <w:spacing w:line="360" w:lineRule="auto"/>
        <w:jc w:val="both"/>
        <w:rPr>
          <w:rFonts w:ascii="Times New Roman" w:hAnsi="Times New Roman" w:cs="Times New Roman"/>
          <w:sz w:val="24"/>
          <w:szCs w:val="24"/>
        </w:rPr>
        <w:sectPr w:rsidR="00C13236" w:rsidSect="000439C1">
          <w:pgSz w:w="11906" w:h="16838"/>
          <w:pgMar w:top="1440" w:right="1440" w:bottom="1440" w:left="1440" w:header="708" w:footer="708" w:gutter="0"/>
          <w:cols w:space="708"/>
          <w:docGrid w:linePitch="360"/>
        </w:sectPr>
      </w:pPr>
      <w:r w:rsidRPr="0067794B">
        <w:rPr>
          <w:rFonts w:ascii="Times New Roman" w:hAnsi="Times New Roman" w:cs="Times New Roman"/>
          <w:sz w:val="24"/>
          <w:szCs w:val="24"/>
        </w:rPr>
        <w:t>Further, in equation 4.</w:t>
      </w:r>
      <w:r>
        <w:rPr>
          <w:rFonts w:ascii="Times New Roman" w:hAnsi="Times New Roman" w:cs="Times New Roman"/>
          <w:sz w:val="24"/>
          <w:szCs w:val="24"/>
        </w:rPr>
        <w:t>1</w:t>
      </w:r>
      <w:r w:rsidRPr="0067794B">
        <w:rPr>
          <w:rFonts w:ascii="Times New Roman" w:hAnsi="Times New Roman" w:cs="Times New Roman"/>
          <w:sz w:val="24"/>
          <w:szCs w:val="24"/>
        </w:rPr>
        <w:t xml:space="preserve">, indicates the magnitude to which the </w:t>
      </w:r>
      <w:r>
        <w:rPr>
          <w:rFonts w:ascii="Times New Roman" w:hAnsi="Times New Roman" w:cs="Times New Roman"/>
          <w:sz w:val="24"/>
          <w:szCs w:val="24"/>
        </w:rPr>
        <w:t>four</w:t>
      </w:r>
      <w:r w:rsidRPr="0067794B">
        <w:rPr>
          <w:rFonts w:ascii="Times New Roman" w:hAnsi="Times New Roman" w:cs="Times New Roman"/>
          <w:sz w:val="24"/>
          <w:szCs w:val="24"/>
        </w:rPr>
        <w:t xml:space="preserve"> factors influence </w:t>
      </w:r>
      <w:r w:rsidRPr="009B6A0E">
        <w:rPr>
          <w:rFonts w:ascii="Times New Roman" w:hAnsi="Times New Roman" w:cs="Times New Roman"/>
          <w:sz w:val="24"/>
          <w:szCs w:val="24"/>
        </w:rPr>
        <w:t>delay of</w:t>
      </w:r>
      <w:r>
        <w:rPr>
          <w:rFonts w:ascii="Times New Roman" w:hAnsi="Times New Roman" w:cs="Times New Roman"/>
          <w:sz w:val="24"/>
          <w:szCs w:val="24"/>
        </w:rPr>
        <w:t xml:space="preserve"> completion</w:t>
      </w:r>
      <w:r w:rsidRPr="009B6A0E">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9B6A0E">
        <w:rPr>
          <w:rFonts w:ascii="Times New Roman" w:hAnsi="Times New Roman" w:cs="Times New Roman"/>
          <w:sz w:val="24"/>
          <w:szCs w:val="24"/>
        </w:rPr>
        <w:t xml:space="preserve">infrastructure projects in </w:t>
      </w:r>
      <w:proofErr w:type="spellStart"/>
      <w:r w:rsidRPr="009B6A0E">
        <w:rPr>
          <w:rFonts w:ascii="Times New Roman" w:hAnsi="Times New Roman" w:cs="Times New Roman"/>
          <w:sz w:val="24"/>
          <w:szCs w:val="24"/>
        </w:rPr>
        <w:t>Bomet</w:t>
      </w:r>
      <w:proofErr w:type="spellEnd"/>
      <w:r w:rsidRPr="009B6A0E">
        <w:rPr>
          <w:rFonts w:ascii="Times New Roman" w:hAnsi="Times New Roman" w:cs="Times New Roman"/>
          <w:sz w:val="24"/>
          <w:szCs w:val="24"/>
        </w:rPr>
        <w:t xml:space="preserve"> County</w:t>
      </w:r>
      <w:r>
        <w:rPr>
          <w:rFonts w:ascii="Times New Roman" w:hAnsi="Times New Roman" w:cs="Times New Roman"/>
          <w:sz w:val="24"/>
          <w:szCs w:val="24"/>
        </w:rPr>
        <w:t xml:space="preserve">. In </w:t>
      </w:r>
      <w:r w:rsidRPr="0067794B">
        <w:rPr>
          <w:rFonts w:ascii="Times New Roman" w:hAnsi="Times New Roman" w:cs="Times New Roman"/>
          <w:sz w:val="24"/>
          <w:szCs w:val="24"/>
        </w:rPr>
        <w:t>equation 4.1</w:t>
      </w:r>
      <w:r>
        <w:rPr>
          <w:rFonts w:ascii="Times New Roman" w:hAnsi="Times New Roman" w:cs="Times New Roman"/>
          <w:sz w:val="24"/>
          <w:szCs w:val="24"/>
        </w:rPr>
        <w:t>,</w:t>
      </w:r>
      <w:r w:rsidRPr="0067794B">
        <w:rPr>
          <w:rFonts w:ascii="Times New Roman" w:hAnsi="Times New Roman" w:cs="Times New Roman"/>
          <w:sz w:val="24"/>
          <w:szCs w:val="24"/>
        </w:rPr>
        <w:t xml:space="preserve"> </w:t>
      </w:r>
      <w:r>
        <w:rPr>
          <w:rFonts w:ascii="Times New Roman" w:hAnsi="Times New Roman" w:cs="Times New Roman"/>
          <w:sz w:val="24"/>
          <w:szCs w:val="24"/>
        </w:rPr>
        <w:t>we have values</w:t>
      </w:r>
      <w:r w:rsidRPr="0067794B">
        <w:rPr>
          <w:rFonts w:ascii="Times New Roman" w:hAnsi="Times New Roman" w:cs="Times New Roman"/>
          <w:sz w:val="24"/>
          <w:szCs w:val="24"/>
        </w:rPr>
        <w:t xml:space="preserve"> in terms of magnitude, significance </w:t>
      </w:r>
      <w:r>
        <w:rPr>
          <w:rFonts w:ascii="Times New Roman" w:hAnsi="Times New Roman" w:cs="Times New Roman"/>
          <w:sz w:val="24"/>
          <w:szCs w:val="24"/>
        </w:rPr>
        <w:t>or direction.</w:t>
      </w:r>
      <w:r w:rsidRPr="0067794B">
        <w:rPr>
          <w:rFonts w:ascii="Times New Roman" w:hAnsi="Times New Roman" w:cs="Times New Roman"/>
          <w:sz w:val="24"/>
          <w:szCs w:val="24"/>
        </w:rPr>
        <w:t xml:space="preserve"> </w:t>
      </w:r>
      <w:r>
        <w:rPr>
          <w:rFonts w:ascii="Times New Roman" w:hAnsi="Times New Roman" w:cs="Times New Roman"/>
          <w:sz w:val="24"/>
          <w:szCs w:val="24"/>
        </w:rPr>
        <w:t xml:space="preserve">Project financing and technical </w:t>
      </w:r>
      <w:proofErr w:type="gramStart"/>
      <w:r>
        <w:rPr>
          <w:rFonts w:ascii="Times New Roman" w:hAnsi="Times New Roman" w:cs="Times New Roman"/>
          <w:sz w:val="24"/>
          <w:szCs w:val="24"/>
        </w:rPr>
        <w:t xml:space="preserve">capacity  </w:t>
      </w:r>
      <w:r w:rsidRPr="0067794B">
        <w:rPr>
          <w:rFonts w:ascii="Times New Roman" w:hAnsi="Times New Roman" w:cs="Times New Roman"/>
          <w:sz w:val="24"/>
          <w:szCs w:val="24"/>
        </w:rPr>
        <w:t>have</w:t>
      </w:r>
      <w:proofErr w:type="gramEnd"/>
      <w:r w:rsidRPr="0067794B">
        <w:rPr>
          <w:rFonts w:ascii="Times New Roman" w:hAnsi="Times New Roman" w:cs="Times New Roman"/>
          <w:sz w:val="24"/>
          <w:szCs w:val="24"/>
        </w:rPr>
        <w:t xml:space="preserve"> greatly contributed </w:t>
      </w:r>
      <w:r>
        <w:rPr>
          <w:rFonts w:ascii="Times New Roman" w:hAnsi="Times New Roman" w:cs="Times New Roman"/>
          <w:sz w:val="24"/>
          <w:szCs w:val="24"/>
        </w:rPr>
        <w:t>as variables. However, from the</w:t>
      </w:r>
      <w:r w:rsidRPr="0067794B">
        <w:rPr>
          <w:rFonts w:ascii="Times New Roman" w:hAnsi="Times New Roman" w:cs="Times New Roman"/>
          <w:sz w:val="24"/>
          <w:szCs w:val="24"/>
        </w:rPr>
        <w:t xml:space="preserve"> model, the direction </w:t>
      </w:r>
      <w:r>
        <w:rPr>
          <w:rFonts w:ascii="Times New Roman" w:hAnsi="Times New Roman" w:cs="Times New Roman"/>
          <w:sz w:val="24"/>
          <w:szCs w:val="24"/>
        </w:rPr>
        <w:t xml:space="preserve">was negative for both citizen participation and project design, and was concluded </w:t>
      </w:r>
      <w:r w:rsidRPr="0067794B">
        <w:rPr>
          <w:rFonts w:ascii="Times New Roman" w:hAnsi="Times New Roman" w:cs="Times New Roman"/>
          <w:sz w:val="24"/>
          <w:szCs w:val="24"/>
        </w:rPr>
        <w:t>to be non-significance. Based on these main properties</w:t>
      </w:r>
      <w:r>
        <w:rPr>
          <w:rFonts w:ascii="Times New Roman" w:hAnsi="Times New Roman" w:cs="Times New Roman"/>
          <w:sz w:val="24"/>
          <w:szCs w:val="24"/>
        </w:rPr>
        <w:t xml:space="preserve"> as a</w:t>
      </w:r>
      <w:r w:rsidRPr="0067794B">
        <w:rPr>
          <w:rFonts w:ascii="Times New Roman" w:hAnsi="Times New Roman" w:cs="Times New Roman"/>
          <w:sz w:val="24"/>
          <w:szCs w:val="24"/>
        </w:rPr>
        <w:t xml:space="preserve"> result of the in</w:t>
      </w:r>
      <w:r>
        <w:rPr>
          <w:rFonts w:ascii="Times New Roman" w:hAnsi="Times New Roman" w:cs="Times New Roman"/>
          <w:sz w:val="24"/>
          <w:szCs w:val="24"/>
        </w:rPr>
        <w:t>teraction between the dependent variable</w:t>
      </w:r>
      <w:r w:rsidRPr="0067794B">
        <w:rPr>
          <w:rFonts w:ascii="Times New Roman" w:hAnsi="Times New Roman" w:cs="Times New Roman"/>
          <w:sz w:val="24"/>
          <w:szCs w:val="24"/>
        </w:rPr>
        <w:t xml:space="preserve"> and the independent variable, the researcher concludes that</w:t>
      </w:r>
      <w:r w:rsidRPr="00214A53">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project financing and technical capacity, </w:t>
      </w:r>
      <w:r w:rsidRPr="0067794B">
        <w:rPr>
          <w:rFonts w:ascii="Times New Roman" w:hAnsi="Times New Roman" w:cs="Times New Roman"/>
          <w:sz w:val="24"/>
          <w:szCs w:val="24"/>
        </w:rPr>
        <w:t xml:space="preserve">are significant variables.  </w:t>
      </w:r>
    </w:p>
    <w:p w:rsidR="000439C1" w:rsidRDefault="000439C1"/>
    <w:sectPr w:rsidR="00043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14325"/>
    <w:multiLevelType w:val="hybridMultilevel"/>
    <w:tmpl w:val="8B66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922DF"/>
    <w:multiLevelType w:val="hybridMultilevel"/>
    <w:tmpl w:val="1DB2A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717C2"/>
    <w:multiLevelType w:val="hybridMultilevel"/>
    <w:tmpl w:val="2B1408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6794A"/>
    <w:multiLevelType w:val="multilevel"/>
    <w:tmpl w:val="BBB0007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1BE5B1A"/>
    <w:multiLevelType w:val="hybridMultilevel"/>
    <w:tmpl w:val="8B66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A47303"/>
    <w:multiLevelType w:val="hybridMultilevel"/>
    <w:tmpl w:val="624C7302"/>
    <w:lvl w:ilvl="0" w:tplc="94BC8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48"/>
    <w:rsid w:val="00014848"/>
    <w:rsid w:val="000439C1"/>
    <w:rsid w:val="000C2958"/>
    <w:rsid w:val="00744C44"/>
    <w:rsid w:val="00973EE1"/>
    <w:rsid w:val="00C13236"/>
    <w:rsid w:val="00DB6619"/>
    <w:rsid w:val="00FA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F2E95-47B1-4E52-8905-DE5B1E86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848"/>
  </w:style>
  <w:style w:type="paragraph" w:styleId="Heading1">
    <w:name w:val="heading 1"/>
    <w:basedOn w:val="Normal"/>
    <w:next w:val="Normal"/>
    <w:link w:val="Heading1Char"/>
    <w:uiPriority w:val="9"/>
    <w:qFormat/>
    <w:rsid w:val="00C13236"/>
    <w:pPr>
      <w:keepNext/>
      <w:keepLines/>
      <w:spacing w:before="360" w:after="120" w:line="276"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13236"/>
    <w:pPr>
      <w:keepNext/>
      <w:keepLines/>
      <w:spacing w:before="160" w:after="120" w:line="276"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13236"/>
    <w:pPr>
      <w:keepNext/>
      <w:keepLines/>
      <w:spacing w:before="40" w:after="0"/>
      <w:outlineLvl w:val="2"/>
    </w:pPr>
    <w:rPr>
      <w:rFonts w:ascii="Times New Roman" w:eastAsiaTheme="majorEastAsia" w:hAnsi="Times New Roman" w:cstheme="majorBidi"/>
      <w:b/>
      <w:sz w:val="24"/>
      <w:szCs w:val="24"/>
      <w:lang w:val="en-GB"/>
    </w:rPr>
  </w:style>
  <w:style w:type="paragraph" w:styleId="Heading4">
    <w:name w:val="heading 4"/>
    <w:basedOn w:val="Normal"/>
    <w:next w:val="Normal"/>
    <w:link w:val="Heading4Char"/>
    <w:uiPriority w:val="9"/>
    <w:unhideWhenUsed/>
    <w:qFormat/>
    <w:rsid w:val="00C13236"/>
    <w:pPr>
      <w:keepNext/>
      <w:keepLines/>
      <w:spacing w:before="160" w:after="120"/>
      <w:outlineLvl w:val="3"/>
    </w:pPr>
    <w:rPr>
      <w:rFonts w:ascii="Times New Roman" w:eastAsiaTheme="majorEastAsia" w:hAnsi="Times New Roman" w:cstheme="majorBidi"/>
      <w:b/>
      <w:i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848"/>
    <w:pPr>
      <w:ind w:left="720"/>
      <w:contextualSpacing/>
    </w:pPr>
  </w:style>
  <w:style w:type="character" w:customStyle="1" w:styleId="Heading1Char">
    <w:name w:val="Heading 1 Char"/>
    <w:basedOn w:val="DefaultParagraphFont"/>
    <w:link w:val="Heading1"/>
    <w:uiPriority w:val="9"/>
    <w:rsid w:val="00C1323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1323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13236"/>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C13236"/>
    <w:rPr>
      <w:rFonts w:ascii="Times New Roman" w:eastAsiaTheme="majorEastAsia" w:hAnsi="Times New Roman" w:cstheme="majorBidi"/>
      <w:b/>
      <w:iCs/>
      <w:sz w:val="24"/>
      <w:lang w:val="en-GB"/>
    </w:rPr>
  </w:style>
  <w:style w:type="paragraph" w:styleId="Caption">
    <w:name w:val="caption"/>
    <w:basedOn w:val="Normal"/>
    <w:next w:val="Normal"/>
    <w:uiPriority w:val="35"/>
    <w:unhideWhenUsed/>
    <w:qFormat/>
    <w:rsid w:val="00C13236"/>
    <w:pPr>
      <w:spacing w:after="0" w:line="276" w:lineRule="auto"/>
    </w:pPr>
    <w:rPr>
      <w:rFonts w:ascii="Times New Roman" w:hAnsi="Times New Roman" w:cs="Times New Roman"/>
      <w:b/>
      <w:iCs/>
      <w:sz w:val="24"/>
      <w:szCs w:val="24"/>
    </w:rPr>
  </w:style>
  <w:style w:type="table" w:styleId="TableGrid">
    <w:name w:val="Table Grid"/>
    <w:basedOn w:val="TableNormal"/>
    <w:uiPriority w:val="39"/>
    <w:rsid w:val="00C1323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3236"/>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C13236"/>
    <w:rPr>
      <w:rFonts w:ascii="Tahoma" w:hAnsi="Tahoma" w:cs="Tahoma"/>
      <w:sz w:val="16"/>
      <w:szCs w:val="16"/>
      <w:lang w:val="en-GB"/>
    </w:rPr>
  </w:style>
  <w:style w:type="paragraph" w:styleId="NoSpacing">
    <w:name w:val="No Spacing"/>
    <w:uiPriority w:val="1"/>
    <w:qFormat/>
    <w:rsid w:val="00C13236"/>
    <w:pPr>
      <w:spacing w:after="0" w:line="240" w:lineRule="auto"/>
    </w:pPr>
    <w:rPr>
      <w:lang w:val="en-GB"/>
    </w:rPr>
  </w:style>
  <w:style w:type="paragraph" w:customStyle="1" w:styleId="Default">
    <w:name w:val="Default"/>
    <w:rsid w:val="00C13236"/>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17</Pages>
  <Words>4653</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mandela</dc:creator>
  <cp:keywords/>
  <dc:description/>
  <cp:lastModifiedBy>victor mandela</cp:lastModifiedBy>
  <cp:revision>4</cp:revision>
  <dcterms:created xsi:type="dcterms:W3CDTF">2019-04-28T11:44:00Z</dcterms:created>
  <dcterms:modified xsi:type="dcterms:W3CDTF">2019-04-29T13:39:00Z</dcterms:modified>
</cp:coreProperties>
</file>