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Rule="auto"/>
        <w:ind w:left="450" w:firstLine="0"/>
        <w:jc w:val="center"/>
        <w:rPr>
          <w:rFonts w:ascii="Arial" w:cs="Arial" w:eastAsia="Arial" w:hAnsi="Arial"/>
          <w:b w:val="1"/>
          <w:color w:val="595959"/>
          <w:sz w:val="36"/>
          <w:szCs w:val="36"/>
        </w:rPr>
      </w:pPr>
      <w:r w:rsidDel="00000000" w:rsidR="00000000" w:rsidRPr="00000000">
        <w:rPr>
          <w:rFonts w:ascii="Arial" w:cs="Arial" w:eastAsia="Arial" w:hAnsi="Arial"/>
          <w:b w:val="1"/>
          <w:sz w:val="40"/>
          <w:szCs w:val="40"/>
          <w:rtl w:val="0"/>
        </w:rPr>
        <w:t xml:space="preserve">Tableau Visualization</w:t>
      </w:r>
      <w:r w:rsidDel="00000000" w:rsidR="00000000" w:rsidRPr="00000000">
        <w:rPr>
          <w:rFonts w:ascii="Arial" w:cs="Arial" w:eastAsia="Arial" w:hAnsi="Arial"/>
          <w:b w:val="1"/>
          <w:color w:val="000000"/>
          <w:sz w:val="40"/>
          <w:szCs w:val="40"/>
          <w:rtl w:val="0"/>
        </w:rPr>
        <w:t xml:space="preserve"> Workshop</w:t>
      </w:r>
      <w:r w:rsidDel="00000000" w:rsidR="00000000" w:rsidRPr="00000000">
        <w:rPr>
          <w:rtl w:val="0"/>
        </w:rPr>
      </w:r>
    </w:p>
    <w:p w:rsidR="00000000" w:rsidDel="00000000" w:rsidP="00000000" w:rsidRDefault="00000000" w:rsidRPr="00000000" w14:paraId="00000002">
      <w:pPr>
        <w:spacing w:after="120" w:before="0" w:lineRule="auto"/>
        <w:ind w:left="450" w:firstLine="0"/>
        <w:jc w:val="center"/>
        <w:rPr>
          <w:rFonts w:ascii="Arial" w:cs="Arial" w:eastAsia="Arial" w:hAnsi="Arial"/>
          <w:b w:val="1"/>
          <w:color w:val="595959"/>
          <w:sz w:val="36"/>
          <w:szCs w:val="36"/>
        </w:rPr>
      </w:pPr>
      <w:r w:rsidDel="00000000" w:rsidR="00000000" w:rsidRPr="00000000">
        <w:rPr>
          <w:rFonts w:ascii="Arial" w:cs="Arial" w:eastAsia="Arial" w:hAnsi="Arial"/>
          <w:b w:val="1"/>
          <w:color w:val="595959"/>
          <w:sz w:val="36"/>
          <w:szCs w:val="36"/>
          <w:rtl w:val="0"/>
        </w:rPr>
        <w:t xml:space="preserve">The Tragedy of the  Commons (3 hours)</w:t>
      </w:r>
    </w:p>
    <w:p w:rsidR="00000000" w:rsidDel="00000000" w:rsidP="00000000" w:rsidRDefault="00000000" w:rsidRPr="00000000" w14:paraId="00000003">
      <w:pPr>
        <w:spacing w:after="120" w:before="0" w:lineRule="auto"/>
        <w:ind w:left="450" w:firstLine="0"/>
        <w:rPr>
          <w:rFonts w:ascii="Arial" w:cs="Arial" w:eastAsia="Arial" w:hAnsi="Arial"/>
          <w:b w:val="1"/>
          <w:color w:val="595959"/>
          <w:sz w:val="36"/>
          <w:szCs w:val="36"/>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This workshop will </w:t>
      </w:r>
      <w:r w:rsidDel="00000000" w:rsidR="00000000" w:rsidRPr="00000000">
        <w:rPr>
          <w:rFonts w:ascii="Arial" w:cs="Arial" w:eastAsia="Arial" w:hAnsi="Arial"/>
          <w:sz w:val="22"/>
          <w:szCs w:val="22"/>
          <w:rtl w:val="0"/>
        </w:rPr>
        <w:t xml:space="preserve">involve creating a data story based on the ‘</w:t>
      </w:r>
      <w:hyperlink r:id="rId7">
        <w:r w:rsidDel="00000000" w:rsidR="00000000" w:rsidRPr="00000000">
          <w:rPr>
            <w:rFonts w:ascii="Arial" w:cs="Arial" w:eastAsia="Arial" w:hAnsi="Arial"/>
            <w:color w:val="1155cc"/>
            <w:sz w:val="22"/>
            <w:szCs w:val="22"/>
            <w:u w:val="single"/>
            <w:rtl w:val="0"/>
          </w:rPr>
          <w:t xml:space="preserve">Tragedy of Commons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5">
      <w:pPr>
        <w:ind w:left="45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450" w:firstLine="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This will</w:t>
      </w:r>
      <w:r w:rsidDel="00000000" w:rsidR="00000000" w:rsidRPr="00000000">
        <w:rPr>
          <w:rFonts w:ascii="Arial" w:cs="Arial" w:eastAsia="Arial" w:hAnsi="Arial"/>
          <w:sz w:val="22"/>
          <w:szCs w:val="22"/>
          <w:rtl w:val="0"/>
        </w:rPr>
        <w:t xml:space="preserve"> allow students to practice</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07">
      <w:pPr>
        <w:numPr>
          <w:ilvl w:val="0"/>
          <w:numId w:val="3"/>
        </w:numPr>
        <w:ind w:left="81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Importing a .csv file into a Tableau</w:t>
      </w:r>
      <w:r w:rsidDel="00000000" w:rsidR="00000000" w:rsidRPr="00000000">
        <w:rPr>
          <w:rtl w:val="0"/>
        </w:rPr>
      </w:r>
    </w:p>
    <w:p w:rsidR="00000000" w:rsidDel="00000000" w:rsidP="00000000" w:rsidRDefault="00000000" w:rsidRPr="00000000" w14:paraId="00000008">
      <w:pPr>
        <w:numPr>
          <w:ilvl w:val="0"/>
          <w:numId w:val="3"/>
        </w:numPr>
        <w:ind w:left="81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Exploring the data</w:t>
      </w:r>
      <w:r w:rsidDel="00000000" w:rsidR="00000000" w:rsidRPr="00000000">
        <w:rPr>
          <w:rtl w:val="0"/>
        </w:rPr>
      </w:r>
    </w:p>
    <w:p w:rsidR="00000000" w:rsidDel="00000000" w:rsidP="00000000" w:rsidRDefault="00000000" w:rsidRPr="00000000" w14:paraId="00000009">
      <w:pPr>
        <w:numPr>
          <w:ilvl w:val="0"/>
          <w:numId w:val="3"/>
        </w:numPr>
        <w:ind w:left="81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Visualizing data with Tableau</w:t>
      </w:r>
      <w:r w:rsidDel="00000000" w:rsidR="00000000" w:rsidRPr="00000000">
        <w:rPr>
          <w:rtl w:val="0"/>
        </w:rPr>
      </w:r>
    </w:p>
    <w:p w:rsidR="00000000" w:rsidDel="00000000" w:rsidP="00000000" w:rsidRDefault="00000000" w:rsidRPr="00000000" w14:paraId="0000000A">
      <w:pPr>
        <w:numPr>
          <w:ilvl w:val="0"/>
          <w:numId w:val="3"/>
        </w:numPr>
        <w:ind w:left="81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Using a data to tell a story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none"/>
        </w:rPr>
      </w:pPr>
      <w:r w:rsidDel="00000000" w:rsidR="00000000" w:rsidRPr="00000000">
        <w:rPr>
          <w:rtl w:val="0"/>
        </w:rPr>
        <w:t xml:space="preserve">The project will consist of 4 distinct parts that will build on each other.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bipaiijh6epq" w:id="0"/>
      <w:bookmarkEnd w:id="0"/>
      <w:r w:rsidDel="00000000" w:rsidR="00000000" w:rsidRPr="00000000">
        <w:rPr>
          <w:rtl w:val="0"/>
        </w:rPr>
        <w:t xml:space="preserve">Part 1 - Import Data</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Import </w:t>
      </w:r>
      <w:hyperlink r:id="rId8">
        <w:r w:rsidDel="00000000" w:rsidR="00000000" w:rsidRPr="00000000">
          <w:rPr>
            <w:color w:val="1155cc"/>
            <w:u w:val="single"/>
            <w:rtl w:val="0"/>
          </w:rPr>
          <w:t xml:space="preserve">AtlanticFish.csv</w:t>
        </w:r>
      </w:hyperlink>
      <w:r w:rsidDel="00000000" w:rsidR="00000000" w:rsidRPr="00000000">
        <w:rPr>
          <w:rtl w:val="0"/>
        </w:rPr>
        <w:t xml:space="preserve"> into Tableau.  This is a dataset derived from the Food and Agriculture Organizations (FAO) of the United Nations data repository.  The dataset provides fish catch data for many nations starting in 1950 and ending in 2019.  The data has been reduced to focus on the North Atlantic (east and west).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.csv file contains the following columns:</w:t>
      </w:r>
    </w:p>
    <w:p w:rsidR="00000000" w:rsidDel="00000000" w:rsidP="00000000" w:rsidRDefault="00000000" w:rsidRPr="00000000" w14:paraId="00000013">
      <w:pPr>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2310"/>
        <w:gridCol w:w="2055"/>
        <w:gridCol w:w="1620"/>
        <w:tblGridChange w:id="0">
          <w:tblGrid>
            <w:gridCol w:w="1740"/>
            <w:gridCol w:w="1740"/>
            <w:gridCol w:w="2310"/>
            <w:gridCol w:w="205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96.00000000000001"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96.00000000000001"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96.00000000000001" w:lineRule="auto"/>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96.00000000000001"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96.00000000000001" w:lineRule="auto"/>
              <w:rPr/>
            </w:pPr>
            <w:r w:rsidDel="00000000" w:rsidR="00000000" w:rsidRPr="00000000">
              <w:rPr>
                <w:rtl w:val="0"/>
              </w:rPr>
              <w:t xml:space="preserve">Catch (tons)</w:t>
            </w:r>
          </w:p>
        </w:tc>
      </w:tr>
      <w:tr>
        <w:trPr>
          <w:cantSplit w:val="0"/>
          <w:trHeight w:val="1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96.00000000000001"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96.00000000000001"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96.00000000000001"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96.00000000000001"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96.00000000000001" w:lineRule="auto"/>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5kwclzoosymo" w:id="1"/>
      <w:bookmarkEnd w:id="1"/>
      <w:r w:rsidDel="00000000" w:rsidR="00000000" w:rsidRPr="00000000">
        <w:rPr>
          <w:rtl w:val="0"/>
        </w:rPr>
        <w:t xml:space="preserve">Part 2 - Explore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Create visualizations to explore the data, looking for evidence of a “Tragedy of the Commons” scenario.  This might involve a particular species, or a specific nation, or a particular region of the Atlantic Ocean.    Use visualizations, tables, or other analytical tools you have learned to find evidence.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questions to drive your exploration.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What are the behaviors over time?  </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Is behavior cyclic?  Is behavior stable or unstable? </w:t>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What are the differences between categories (countries, regions, species)?  </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Who are the big contributors?  Who plays a smaller role?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1ykn1ta8j4h" w:id="2"/>
      <w:bookmarkEnd w:id="2"/>
      <w:r w:rsidDel="00000000" w:rsidR="00000000" w:rsidRPr="00000000">
        <w:rPr>
          <w:rtl w:val="0"/>
        </w:rPr>
        <w:t xml:space="preserve">Part 3  - Analyze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 you have discovered evidence of a ‘tragedy’, look for story elements.   Those elements might include: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Characters - who is in this story, and what do they want? </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Conflict - is there competition between different characters?</w:t>
      </w: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Surprise - what did you find that was unexpected? </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Resolution - how does it appear this conflict ended?  Or did it end?  </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c57j6uapadj1" w:id="3"/>
      <w:bookmarkEnd w:id="3"/>
      <w:r w:rsidDel="00000000" w:rsidR="00000000" w:rsidRPr="00000000">
        <w:rPr>
          <w:rtl w:val="0"/>
        </w:rPr>
        <w:t xml:space="preserve">Part 4  - Explain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Prepare a short presentation in Powerpoint, Google slides, or Tableau that describes how the ‘Tragedy of the Commons’ applies to fishing in the Atlantic Ocean.  Use 5 or 6 slides to tell your story in about 10 minutes.  We’ll start presentations at 3:30pm.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 not assume that because you have created a visualization for exploration, you need to use it in your presentation.   Only use visualizations that support your story.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Room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Room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Room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Room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Room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Chrissy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Kristian McCombs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Rosemary Espinal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Rosana Infante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Brenda Jerez</w:t>
            </w:r>
          </w:p>
        </w:tc>
      </w:tr>
      <w:tr>
        <w:trPr>
          <w:cantSplit w:val="0"/>
          <w:trHeight w:val="413.23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 Angelica 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Virna Brown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76" w:lineRule="auto"/>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Ess Guernah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Chad Crossman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Kosta Louvros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Aaron Potts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Diana Ospina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Ali Ashfaq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Marcus Madison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Daphney Oliveira</w:t>
            </w:r>
          </w:p>
        </w:tc>
      </w:tr>
      <w:tr>
        <w:trPr>
          <w:cantSplit w:val="0"/>
          <w:trHeight w:val="6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Shaday Brown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Victor Mantilla Colon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Marianna Beaute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Chhaya Penn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Timothy Yip</w:t>
            </w:r>
            <w:r w:rsidDel="00000000" w:rsidR="00000000" w:rsidRPr="00000000">
              <w:rPr>
                <w:rtl w:val="0"/>
              </w:rPr>
            </w:r>
          </w:p>
        </w:tc>
      </w:tr>
      <w:tr>
        <w:trPr>
          <w:cantSplit w:val="0"/>
          <w:trHeight w:val="548.2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 </w:t>
            </w:r>
          </w:p>
          <w:p w:rsidR="00000000" w:rsidDel="00000000" w:rsidP="00000000" w:rsidRDefault="00000000" w:rsidRPr="00000000" w14:paraId="00000059">
            <w:pPr>
              <w:spacing w:line="276" w:lineRule="auto"/>
              <w:rPr>
                <w:rFonts w:ascii="Arial" w:cs="Arial" w:eastAsia="Arial" w:hAnsi="Arial"/>
                <w:color w:val="1d1c1d"/>
                <w:sz w:val="19"/>
                <w:szCs w:val="19"/>
                <w:shd w:fill="f8f8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rPr>
                <w:rFonts w:ascii="Arial" w:cs="Arial" w:eastAsia="Arial" w:hAnsi="Arial"/>
                <w:sz w:val="18"/>
                <w:szCs w:val="18"/>
              </w:rPr>
            </w:pPr>
            <w:r w:rsidDel="00000000" w:rsidR="00000000" w:rsidRPr="00000000">
              <w:rPr>
                <w:rFonts w:ascii="Arial" w:cs="Arial" w:eastAsia="Arial" w:hAnsi="Arial"/>
                <w:color w:val="1d1c1d"/>
                <w:sz w:val="19"/>
                <w:szCs w:val="19"/>
                <w:shd w:fill="f8f8f8" w:val="clear"/>
                <w:rtl w:val="0"/>
              </w:rPr>
              <w:t xml:space="preserve">Adam Shabana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rPr>
                <w:rFonts w:ascii="Arial" w:cs="Arial" w:eastAsia="Arial" w:hAnsi="Arial"/>
                <w:color w:val="1d1c1d"/>
                <w:sz w:val="19"/>
                <w:szCs w:val="19"/>
                <w:shd w:fill="f8f8f8" w:val="clear"/>
              </w:rPr>
            </w:pPr>
            <w:r w:rsidDel="00000000" w:rsidR="00000000" w:rsidRPr="00000000">
              <w:rPr>
                <w:rFonts w:ascii="Arial" w:cs="Arial" w:eastAsia="Arial" w:hAnsi="Arial"/>
                <w:color w:val="1d1c1d"/>
                <w:sz w:val="19"/>
                <w:szCs w:val="19"/>
                <w:shd w:fill="f8f8f8"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rFonts w:ascii="Arial" w:cs="Arial" w:eastAsia="Arial" w:hAnsi="Arial"/>
                <w:color w:val="1d1c1d"/>
                <w:sz w:val="19"/>
                <w:szCs w:val="19"/>
                <w:shd w:fill="f8f8f8" w:val="clear"/>
              </w:rPr>
            </w:pPr>
            <w:r w:rsidDel="00000000" w:rsidR="00000000" w:rsidRPr="00000000">
              <w:rPr>
                <w:rtl w:val="0"/>
              </w:rPr>
            </w:r>
          </w:p>
        </w:tc>
      </w:tr>
    </w:tbl>
    <w:p w:rsidR="00000000" w:rsidDel="00000000" w:rsidP="00000000" w:rsidRDefault="00000000" w:rsidRPr="00000000" w14:paraId="0000005D">
      <w:pPr>
        <w:spacing w:line="276" w:lineRule="au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D4904"/>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D4904"/>
    <w:pPr>
      <w:spacing w:after="100" w:afterAutospacing="1" w:before="100" w:beforeAutospacing="1"/>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D4904"/>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D4904"/>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D490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AD4904"/>
    <w:rPr>
      <w:color w:val="0000ff"/>
      <w:u w:val="single"/>
    </w:rPr>
  </w:style>
  <w:style w:type="character" w:styleId="UnresolvedMention">
    <w:name w:val="Unresolved Mention"/>
    <w:basedOn w:val="DefaultParagraphFont"/>
    <w:uiPriority w:val="99"/>
    <w:semiHidden w:val="1"/>
    <w:unhideWhenUsed w:val="1"/>
    <w:rsid w:val="00A94C54"/>
    <w:rPr>
      <w:color w:val="605e5c"/>
      <w:shd w:color="auto" w:fill="e1dfdd" w:val="clear"/>
    </w:rPr>
  </w:style>
  <w:style w:type="character" w:styleId="FollowedHyperlink">
    <w:name w:val="FollowedHyperlink"/>
    <w:basedOn w:val="DefaultParagraphFont"/>
    <w:uiPriority w:val="99"/>
    <w:semiHidden w:val="1"/>
    <w:unhideWhenUsed w:val="1"/>
    <w:rsid w:val="00A94C5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CxC161GvMPc" TargetMode="External"/><Relationship Id="rId8" Type="http://schemas.openxmlformats.org/officeDocument/2006/relationships/hyperlink" Target="https://drive.google.com/file/d/1Xtbu5oqzjM9fLElOmkj4GxQpbi5heZFH/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rH3bNo9RL54oRWuFd519WojCBQ==">AMUW2mXflAhzxmcT5P0nE9oEsqeL8f7dcSRXXcLYRKM9n/rboKNxVbnZBmNSqJ8FhQYQqrVdApYe0zidjw6vUoYR7kIGSY6Ltz07czbcQHPstwUHEvf5onS3Wem0hwbDaqITSyjAuWd46MhoUdvQga2kInorvDo+5cAq5PCRLS8YS0F1wFgbMPyGdjm4Z3F44dZEK9RxQtay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2022-03-31T16:41:00Z</dcterms:created>
  <dc:creator>Dennis McGrath</dc:creator>
</cp:coreProperties>
</file>