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ARTICOLO 1/5</w:t>
      </w:r>
    </w:p>
    <w:p>
      <w:pPr>
        <w:pStyle w:val="Heading1"/>
      </w:pPr>
      <w:r>
        <w:t xml:space="preserve">Nuove regole UE sul Carbon Farming</w:t>
      </w:r>
    </w:p>
    <w:p>
      <w:r>
        <w:t xml:space="preserve">METADATI ARTICOLO</w:t>
      </w:r>
    </w:p>
    <w:tbl>
      <w:tblPr>
        <w:tblW w:w="0" w:type="auto"/>
      </w:tblPr>
      <w:tr>
        <w:tc>
          <w:p>
            <w:r>
              <w:t xml:space="preserve">Data pubblicazione: 19 aprile 2026</w:t>
            </w:r>
          </w:p>
        </w:tc>
      </w:tr>
      <w:tr>
        <w:tc>
          <w:p>
            <w:r>
              <w:t xml:space="preserve">Autore: Redazione Master Carbon Farming</w:t>
            </w:r>
          </w:p>
        </w:tc>
      </w:tr>
      <w:tr>
        <w:tc>
          <w:p>
            <w:r>
              <w:t xml:space="preserve">Tag: policy, eu, carbon farming</w:t>
            </w:r>
          </w:p>
        </w:tc>
      </w:tr>
      <w:tr>
        <w:tc>
          <w:p>
            <w:r>
              <w:t xml:space="preserve">Modulo del master collegato: M2 - Politiche e mercati del carbonio</w:t>
            </w:r>
          </w:p>
        </w:tc>
      </w:tr>
      <w:tr>
        <w:tc>
          <w:p>
            <w:r>
              <w:t xml:space="preserve">Fonte primaria: Carbon farming in the EU</w:t>
            </w:r>
          </w:p>
        </w:tc>
      </w:tr>
    </w:tbl>
    <w:p>
      <w:pPr>
        <w:pStyle w:val="Heading3"/>
      </w:pPr>
      <w:r>
        <w:t xml:space="preserve">Abstract (per card lista blog)</w:t>
      </w:r>
    </w:p>
    <w:p>
      <w:r>
        <w:rPr>
          <w:i/>
        </w:rPr>
        <w:t xml:space="preserve">La certificazione europea accelera i progetti di carbon farming e crea nuove opportunita per aziende agricole e filiere.</w:t>
      </w:r>
    </w:p>
    <w:p>
      <w:pPr>
        <w:pStyle w:val="Heading3"/>
      </w:pPr>
      <w:r>
        <w:t xml:space="preserve">Corpo articolo</w:t>
      </w:r>
    </w:p>
    <w:p>
      <w:pPr>
        <w:pStyle w:val="Heading2"/>
      </w:pPr>
      <w:r>
        <w:t xml:space="preserve">Perche conta adesso</w:t>
      </w:r>
    </w:p>
    <w:p>
      <w:r>
        <w:t xml:space="preserve">La Commissione europea ha chiarito i criteri per la certificazione delle rimozioni di carbonio in agricoltura.</w:t>
      </w:r>
    </w:p>
    <w:p>
      <w:r>
        <w:t xml:space="preserve">Per i professionisti del Master questo significa un quadro piu leggibile per progettare iniziative credibili.</w:t>
      </w:r>
    </w:p>
    <w:p>
      <w:r>
        <w:t xml:space="preserve">I nuovi standard aiutano a connettere pratiche agricole, MRV e valorizzazione economica delle rimozioni.</w:t>
      </w:r>
    </w:p>
    <w:p>
      <w:pPr>
        <w:pStyle w:val="Heading3"/>
      </w:pPr>
      <w:r>
        <w:t xml:space="preserve">Media suggeriti (immagini &amp; video)</w:t>
      </w:r>
    </w:p>
    <w:tbl>
      <w:tblPr>
        <w:tblW w:w="0" w:type="auto"/>
      </w:tblPr>
      <w:tr>
        <w:tc>
          <w:p>
            <w:r>
              <w:t xml:space="preserve">Immagine di copertina (AI): campi agricoli europei con overlay di dati climatici e certificazioni verdi</w:t>
            </w:r>
          </w:p>
        </w:tc>
      </w:tr>
      <w:tr>
        <w:tc>
          <w:p>
            <w:r>
              <w:t xml:space="preserve">Prompt AI: campi agricoli europei al tramonto, overlay di dati climatici, grafica editoriale professionale, certificazione europea del carbon farming, stile magazine verde istituzionale, landscape 16:9</w:t>
            </w:r>
          </w:p>
        </w:tc>
      </w:tr>
    </w:tbl>
    <w:p>
      <w:pPr>
        <w:pStyle w:val="Heading3"/>
      </w:pPr>
      <w:r>
        <w:t xml:space="preserve">Fonti da linkare nell'articolo</w:t>
      </w:r>
    </w:p>
    <w:p>
      <w:r>
        <w:t xml:space="preserve">• </w:t>
      </w:r>
      <w:hyperlink r:id="rId1">
        <w:r>
          <w:rPr>
            <w:rStyle w:val="Hyperlink"/>
          </w:rPr>
          <w:t xml:space="preserve">Carbon farming in the EU</w:t>
        </w:r>
      </w:hyperlink>
      <w:r>
        <w:br/>
      </w:r>
      <w:r>
        <w:t xml:space="preserve">• </w:t>
      </w:r>
      <w:hyperlink r:id="rId2">
        <w:r>
          <w:rPr>
            <w:rStyle w:val="Hyperlink"/>
          </w:rPr>
          <w:t xml:space="preserve">Carbon removals certification framework</w:t>
        </w:r>
      </w:hyperlink>
    </w:p>
    <w:p>
      <w:r>
        <w:t xml:space="preserve">ARTICOLO 2/5</w:t>
      </w:r>
    </w:p>
    <w:p>
      <w:pPr>
        <w:pStyle w:val="Heading1"/>
      </w:pPr>
      <w:r>
        <w:t xml:space="preserve">Crediti di carbonio e filiere agroalimentari</w:t>
      </w:r>
    </w:p>
    <w:p>
      <w:r>
        <w:t xml:space="preserve">METADATI ARTICOLO</w:t>
      </w:r>
    </w:p>
    <w:tbl>
      <w:tblPr>
        <w:tblW w:w="0" w:type="auto"/>
      </w:tblPr>
      <w:tr>
        <w:tc>
          <w:p>
            <w:r>
              <w:t xml:space="preserve">Data pubblicazione: 20 aprile 2026</w:t>
            </w:r>
          </w:p>
        </w:tc>
      </w:tr>
      <w:tr>
        <w:tc>
          <w:p>
            <w:r>
              <w:t xml:space="preserve">Autore: Redazione Master Carbon Farming</w:t>
            </w:r>
          </w:p>
        </w:tc>
      </w:tr>
      <w:tr>
        <w:tc>
          <w:p>
            <w:r>
              <w:t xml:space="preserve">Tag: mercati, agrifood, crediti</w:t>
            </w:r>
          </w:p>
        </w:tc>
      </w:tr>
      <w:tr>
        <w:tc>
          <w:p>
            <w:r>
              <w:t xml:space="preserve">Modulo del master collegato: M3 - Strategie ESG e filiere</w:t>
            </w:r>
          </w:p>
        </w:tc>
      </w:tr>
      <w:tr>
        <w:tc>
          <w:p>
            <w:r>
              <w:t xml:space="preserve">Fonte primaria: FAO soil carbon overview</w:t>
            </w:r>
          </w:p>
        </w:tc>
      </w:tr>
    </w:tbl>
    <w:p>
      <w:pPr>
        <w:pStyle w:val="Heading3"/>
      </w:pPr>
      <w:r>
        <w:t xml:space="preserve">Abstract (per card lista blog)</w:t>
      </w:r>
    </w:p>
    <w:p>
      <w:r>
        <w:rPr>
          <w:i/>
        </w:rPr>
        <w:t xml:space="preserve">Le aziende agroalimentari cercano crediti robusti e tracciabili per integrare obiettivi climatici e procurement.</w:t>
      </w:r>
    </w:p>
    <w:p>
      <w:pPr>
        <w:pStyle w:val="Heading3"/>
      </w:pPr>
      <w:r>
        <w:t xml:space="preserve">Corpo articolo</w:t>
      </w:r>
    </w:p>
    <w:p>
      <w:pPr>
        <w:pStyle w:val="Heading2"/>
      </w:pPr>
      <w:r>
        <w:t xml:space="preserve">Dove si muove il mercato</w:t>
      </w:r>
    </w:p>
    <w:p>
      <w:r>
        <w:t xml:space="preserve">Le filiere alimentari chiedono sempre piu dati verificabili sulle pratiche di sequestro del carbonio.</w:t>
      </w:r>
    </w:p>
    <w:p>
      <w:r>
        <w:t xml:space="preserve">I buyer premiano programmi con metriche trasparenti, monitoraggio continuo e benefici per il suolo.</w:t>
      </w:r>
    </w:p>
    <w:p>
      <w:r>
        <w:t xml:space="preserve">Per i project manager significa costruire offerte con valore ambientale e business case chiari.</w:t>
      </w:r>
    </w:p>
    <w:p>
      <w:pPr>
        <w:pStyle w:val="Heading3"/>
      </w:pPr>
      <w:r>
        <w:t xml:space="preserve">Media suggeriti (immagini &amp; video)</w:t>
      </w:r>
    </w:p>
    <w:tbl>
      <w:tblPr>
        <w:tblW w:w="0" w:type="auto"/>
      </w:tblPr>
      <w:tr>
        <w:tc>
          <w:p>
            <w:r>
              <w:t xml:space="preserve">Immagine di copertina (AI): filiera agroalimentare sostenibile con dashboard ESG e campi coltivati</w:t>
            </w:r>
          </w:p>
        </w:tc>
      </w:tr>
      <w:tr>
        <w:tc>
          <w:p>
            <w:r>
              <w:t xml:space="preserve">Prompt AI: filiera agroalimentare sostenibile, dashboard ESG, campi coltivati, supply chain food, fotografia editoriale premium, palette verde e oro, landscape 16:9</w:t>
            </w:r>
          </w:p>
        </w:tc>
      </w:tr>
    </w:tbl>
    <w:p>
      <w:pPr>
        <w:pStyle w:val="Heading3"/>
      </w:pPr>
      <w:r>
        <w:t xml:space="preserve">Fonti da linkare nell'articolo</w:t>
      </w:r>
    </w:p>
    <w:p>
      <w:r>
        <w:t xml:space="preserve">• </w:t>
      </w:r>
      <w:hyperlink r:id="rId3">
        <w:r>
          <w:rPr>
            <w:rStyle w:val="Hyperlink"/>
          </w:rPr>
          <w:t xml:space="preserve">FAO soil carbon overview</w:t>
        </w:r>
      </w:hyperlink>
      <w:r>
        <w:br/>
      </w:r>
      <w:r>
        <w:t xml:space="preserve">• </w:t>
      </w:r>
      <w:hyperlink r:id="rId4">
        <w:r>
          <w:rPr>
            <w:rStyle w:val="Hyperlink"/>
          </w:rPr>
          <w:t xml:space="preserve">Science Based Targets initiative</w:t>
        </w:r>
      </w:hyperlink>
    </w:p>
    <w:p>
      <w:r>
        <w:t xml:space="preserve">ARTICOLO 3/5</w:t>
      </w:r>
    </w:p>
    <w:p>
      <w:pPr>
        <w:pStyle w:val="Heading1"/>
      </w:pPr>
      <w:r>
        <w:t xml:space="preserve">Soil health e monitoraggio digitale</w:t>
      </w:r>
    </w:p>
    <w:p>
      <w:r>
        <w:t xml:space="preserve">METADATI ARTICOLO</w:t>
      </w:r>
    </w:p>
    <w:tbl>
      <w:tblPr>
        <w:tblW w:w="0" w:type="auto"/>
      </w:tblPr>
      <w:tr>
        <w:tc>
          <w:p>
            <w:r>
              <w:t xml:space="preserve">Data pubblicazione: 21 aprile 2026</w:t>
            </w:r>
          </w:p>
        </w:tc>
      </w:tr>
      <w:tr>
        <w:tc>
          <w:p>
            <w:r>
              <w:t xml:space="preserve">Autore: Redazione Master Carbon Farming</w:t>
            </w:r>
          </w:p>
        </w:tc>
      </w:tr>
      <w:tr>
        <w:tc>
          <w:p>
            <w:r>
              <w:t xml:space="preserve">Tag: soil health, monitoring, digital</w:t>
            </w:r>
          </w:p>
        </w:tc>
      </w:tr>
      <w:tr>
        <w:tc>
          <w:p>
            <w:r>
              <w:t xml:space="preserve">Modulo del master collegato: M4 - Misurazione, reporting e verifica</w:t>
            </w:r>
          </w:p>
        </w:tc>
      </w:tr>
      <w:tr>
        <w:tc>
          <w:p>
            <w:r>
              <w:t xml:space="preserve">Fonte primaria: Copernicus Land Monitoring Service</w:t>
            </w:r>
          </w:p>
        </w:tc>
      </w:tr>
    </w:tbl>
    <w:p>
      <w:pPr>
        <w:pStyle w:val="Heading3"/>
      </w:pPr>
      <w:r>
        <w:t xml:space="preserve">Abstract (per card lista blog)</w:t>
      </w:r>
    </w:p>
    <w:p>
      <w:r>
        <w:rPr>
          <w:i/>
        </w:rPr>
        <w:t xml:space="preserve">Sensori, telerilevamento e piattaforme MRV stanno cambiando il modo in cui leggiamo la salute del suolo.</w:t>
      </w:r>
    </w:p>
    <w:p>
      <w:pPr>
        <w:pStyle w:val="Heading3"/>
      </w:pPr>
      <w:r>
        <w:t xml:space="preserve">Corpo articolo</w:t>
      </w:r>
    </w:p>
    <w:p>
      <w:pPr>
        <w:pStyle w:val="Heading2"/>
      </w:pPr>
      <w:r>
        <w:t xml:space="preserve">Dal campo al dato</w:t>
      </w:r>
    </w:p>
    <w:p>
      <w:r>
        <w:t xml:space="preserve">Il monitoraggio digitale permette di combinare osservazioni di campo, immagini satellitari e modelli agronomici.</w:t>
      </w:r>
    </w:p>
    <w:p>
      <w:r>
        <w:t xml:space="preserve">Questa integrazione rende piu robusta la lettura di sostanza organica, umidita e trend del carbonio nel tempo.</w:t>
      </w:r>
    </w:p>
    <w:p>
      <w:r>
        <w:t xml:space="preserve">Il valore didattico e forte: i dati diventano parte del progetto e non un allegato finale.</w:t>
      </w:r>
    </w:p>
    <w:p>
      <w:pPr>
        <w:pStyle w:val="Heading3"/>
      </w:pPr>
      <w:r>
        <w:t xml:space="preserve">Media suggeriti (immagini &amp; video)</w:t>
      </w:r>
    </w:p>
    <w:tbl>
      <w:tblPr>
        <w:tblW w:w="0" w:type="auto"/>
      </w:tblPr>
      <w:tr>
        <w:tc>
          <w:p>
            <w:r>
              <w:t xml:space="preserve">Immagine di copertina (AI): sensori nel suolo e mappa satellitare sopra un campo rigenerativo</w:t>
            </w:r>
          </w:p>
        </w:tc>
      </w:tr>
      <w:tr>
        <w:tc>
          <w:p>
            <w:r>
              <w:t xml:space="preserve">Prompt AI: sensori nel suolo, mappa satellitare, agricoltura rigenerativa, visualizzazione dati, taglio editoriale contemporaneo, landscape 16:9</w:t>
            </w:r>
          </w:p>
        </w:tc>
      </w:tr>
    </w:tbl>
    <w:p>
      <w:pPr>
        <w:pStyle w:val="Heading3"/>
      </w:pPr>
      <w:r>
        <w:t xml:space="preserve">Fonti da linkare nell'articolo</w:t>
      </w:r>
    </w:p>
    <w:p>
      <w:r>
        <w:t xml:space="preserve">• </w:t>
      </w:r>
      <w:hyperlink r:id="rId5">
        <w:r>
          <w:rPr>
            <w:rStyle w:val="Hyperlink"/>
          </w:rPr>
          <w:t xml:space="preserve">Copernicus Land Monitoring Service</w:t>
        </w:r>
      </w:hyperlink>
      <w:r>
        <w:br/>
      </w:r>
      <w:r>
        <w:t xml:space="preserve">• </w:t>
      </w:r>
      <w:hyperlink r:id="rId6">
        <w:r>
          <w:rPr>
            <w:rStyle w:val="Hyperlink"/>
          </w:rPr>
          <w:t xml:space="preserve">FAO Digital Agriculture</w:t>
        </w:r>
      </w:hyperlink>
    </w:p>
    <w:p>
      <w:r>
        <w:t xml:space="preserve">ARTICOLO 4/5</w:t>
      </w:r>
    </w:p>
    <w:p>
      <w:pPr>
        <w:pStyle w:val="Heading1"/>
      </w:pPr>
      <w:r>
        <w:t xml:space="preserve">Foreste, biodiversita e carbon removal</w:t>
      </w:r>
    </w:p>
    <w:p>
      <w:r>
        <w:t xml:space="preserve">METADATI ARTICOLO</w:t>
      </w:r>
    </w:p>
    <w:tbl>
      <w:tblPr>
        <w:tblW w:w="0" w:type="auto"/>
      </w:tblPr>
      <w:tr>
        <w:tc>
          <w:p>
            <w:r>
              <w:t xml:space="preserve">Data pubblicazione: 22 aprile 2026</w:t>
            </w:r>
          </w:p>
        </w:tc>
      </w:tr>
      <w:tr>
        <w:tc>
          <w:p>
            <w:r>
              <w:t xml:space="preserve">Autore: Redazione Master Carbon Farming</w:t>
            </w:r>
          </w:p>
        </w:tc>
      </w:tr>
      <w:tr>
        <w:tc>
          <w:p>
            <w:r>
              <w:t xml:space="preserve">Tag: forest, biodiversity, removals</w:t>
            </w:r>
          </w:p>
        </w:tc>
      </w:tr>
      <w:tr>
        <w:tc>
          <w:p>
            <w:r>
              <w:t xml:space="preserve">Modulo del master collegato: M5 - Ecosistemi forestali e servizi ecosistemici</w:t>
            </w:r>
          </w:p>
        </w:tc>
      </w:tr>
      <w:tr>
        <w:tc>
          <w:p>
            <w:r>
              <w:t xml:space="preserve">Fonte primaria: European Forest Institute</w:t>
            </w:r>
          </w:p>
        </w:tc>
      </w:tr>
    </w:tbl>
    <w:p>
      <w:pPr>
        <w:pStyle w:val="Heading3"/>
      </w:pPr>
      <w:r>
        <w:t xml:space="preserve">Abstract (per card lista blog)</w:t>
      </w:r>
    </w:p>
    <w:p>
      <w:r>
        <w:rPr>
          <w:i/>
        </w:rPr>
        <w:t xml:space="preserve">Nei progetti forestali la rimozione di carbonio ha senso solo se tiene insieme biodiversita, resilienza e gestione attiva.</w:t>
      </w:r>
    </w:p>
    <w:p>
      <w:pPr>
        <w:pStyle w:val="Heading3"/>
      </w:pPr>
      <w:r>
        <w:t xml:space="preserve">Corpo articolo</w:t>
      </w:r>
    </w:p>
    <w:p>
      <w:pPr>
        <w:pStyle w:val="Heading2"/>
      </w:pPr>
      <w:r>
        <w:t xml:space="preserve">Gestione integrata</w:t>
      </w:r>
    </w:p>
    <w:p>
      <w:r>
        <w:t xml:space="preserve">I progetti forestali di nuova generazione legano il carbonio a biodiversita, prevenzione incendi e adattamento climatico.</w:t>
      </w:r>
    </w:p>
    <w:p>
      <w:r>
        <w:t xml:space="preserve">Serve una governance che tenga conto di tempi lunghi, proprieta frammentate e indicatori ecologici solidi.</w:t>
      </w:r>
    </w:p>
    <w:p>
      <w:r>
        <w:t xml:space="preserve">Per questo il Master insiste su approcci integrati, capaci di leggere foresta e territorio nello stesso quadro.</w:t>
      </w:r>
    </w:p>
    <w:p>
      <w:pPr>
        <w:pStyle w:val="Heading3"/>
      </w:pPr>
      <w:r>
        <w:t xml:space="preserve">Media suggeriti (immagini &amp; video)</w:t>
      </w:r>
    </w:p>
    <w:tbl>
      <w:tblPr>
        <w:tblW w:w="0" w:type="auto"/>
      </w:tblPr>
      <w:tr>
        <w:tc>
          <w:p>
            <w:r>
              <w:t xml:space="preserve">Immagine di copertina (AI): foresta mediterranea resiliente con biodiversita visibile e luce naturale</w:t>
            </w:r>
          </w:p>
        </w:tc>
      </w:tr>
      <w:tr>
        <w:tc>
          <w:p>
            <w:r>
              <w:t xml:space="preserve">Prompt AI: foresta mediterranea resiliente, biodiversita visibile, luce naturale, atmosfera editoriale istituzionale, carbon removal, landscape 16:9</w:t>
            </w:r>
          </w:p>
        </w:tc>
      </w:tr>
    </w:tbl>
    <w:p>
      <w:pPr>
        <w:pStyle w:val="Heading3"/>
      </w:pPr>
      <w:r>
        <w:t xml:space="preserve">Fonti da linkare nell'articolo</w:t>
      </w:r>
    </w:p>
    <w:p>
      <w:r>
        <w:t xml:space="preserve">• </w:t>
      </w:r>
      <w:hyperlink r:id="rId7">
        <w:r>
          <w:rPr>
            <w:rStyle w:val="Hyperlink"/>
          </w:rPr>
          <w:t xml:space="preserve">European Forest Institute</w:t>
        </w:r>
      </w:hyperlink>
      <w:r>
        <w:br/>
      </w:r>
      <w:r>
        <w:t xml:space="preserve">• </w:t>
      </w:r>
      <w:hyperlink r:id="rId8">
        <w:r>
          <w:rPr>
            <w:rStyle w:val="Hyperlink"/>
          </w:rPr>
          <w:t xml:space="preserve">IPCC Climate Change and Land</w:t>
        </w:r>
      </w:hyperlink>
    </w:p>
    <w:p>
      <w:r>
        <w:t xml:space="preserve">ARTICOLO 5/5</w:t>
      </w:r>
    </w:p>
    <w:p>
      <w:pPr>
        <w:pStyle w:val="Heading1"/>
      </w:pPr>
      <w:r>
        <w:t xml:space="preserve">Il Master come laboratorio di progettazione climatica</w:t>
      </w:r>
    </w:p>
    <w:p>
      <w:r>
        <w:t xml:space="preserve">METADATI ARTICOLO</w:t>
      </w:r>
    </w:p>
    <w:tbl>
      <w:tblPr>
        <w:tblW w:w="0" w:type="auto"/>
      </w:tblPr>
      <w:tr>
        <w:tc>
          <w:p>
            <w:r>
              <w:t xml:space="preserve">Data pubblicazione: 23 aprile 2026</w:t>
            </w:r>
          </w:p>
        </w:tc>
      </w:tr>
      <w:tr>
        <w:tc>
          <w:p>
            <w:r>
              <w:t xml:space="preserve">Autore: Redazione Master Carbon Farming</w:t>
            </w:r>
          </w:p>
        </w:tc>
      </w:tr>
      <w:tr>
        <w:tc>
          <w:p>
            <w:r>
              <w:t xml:space="preserve">Tag: master, education, climate design</w:t>
            </w:r>
          </w:p>
        </w:tc>
      </w:tr>
      <w:tr>
        <w:tc>
          <w:p>
            <w:r>
              <w:t xml:space="preserve">Modulo del master collegato: M1 - Visione strategica del carbon farming</w:t>
            </w:r>
          </w:p>
        </w:tc>
      </w:tr>
      <w:tr>
        <w:tc>
          <w:p>
            <w:r>
              <w:t xml:space="preserve">Fonte primaria: UN SDG 13 Climate Action</w:t>
            </w:r>
          </w:p>
        </w:tc>
      </w:tr>
    </w:tbl>
    <w:p>
      <w:pPr>
        <w:pStyle w:val="Heading3"/>
      </w:pPr>
      <w:r>
        <w:t xml:space="preserve">Abstract (per card lista blog)</w:t>
      </w:r>
    </w:p>
    <w:p>
      <w:r>
        <w:rPr>
          <w:i/>
        </w:rPr>
        <w:t xml:space="preserve">Competenze tecniche, project work e casi reali trasformano il percorso formativo in una palestra di progettazione climatica.</w:t>
      </w:r>
    </w:p>
    <w:p>
      <w:pPr>
        <w:pStyle w:val="Heading3"/>
      </w:pPr>
      <w:r>
        <w:t xml:space="preserve">Corpo articolo</w:t>
      </w:r>
    </w:p>
    <w:p>
      <w:pPr>
        <w:pStyle w:val="Heading2"/>
      </w:pPr>
      <w:r>
        <w:t xml:space="preserve">Una formazione applicata</w:t>
      </w:r>
    </w:p>
    <w:p>
      <w:r>
        <w:t xml:space="preserve">Il Master unisce policy, agronomia, MRV e design di progetto in un percorso unico nel panorama italiano.</w:t>
      </w:r>
    </w:p>
    <w:p>
      <w:r>
        <w:t xml:space="preserve">Gli studenti lavorano su casi concreti, con un confronto continuo tra strumenti tecnici e obiettivi di sistema.</w:t>
      </w:r>
    </w:p>
    <w:p>
      <w:r>
        <w:t xml:space="preserve">Il risultato e una formazione spendibile subito in imprese, consulenza, pubbliche amministrazioni e filiere.</w:t>
      </w:r>
    </w:p>
    <w:p>
      <w:pPr>
        <w:pStyle w:val="Heading3"/>
      </w:pPr>
      <w:r>
        <w:t xml:space="preserve">Media suggeriti (immagini &amp; video)</w:t>
      </w:r>
    </w:p>
    <w:tbl>
      <w:tblPr>
        <w:tblW w:w="0" w:type="auto"/>
      </w:tblPr>
      <w:tr>
        <w:tc>
          <w:p>
            <w:r>
              <w:t xml:space="preserve">Immagine di copertina (AI): aula executive con mappe climatiche e studenti che progettano soluzioni nature-based</w:t>
            </w:r>
          </w:p>
        </w:tc>
      </w:tr>
      <w:tr>
        <w:tc>
          <w:p>
            <w:r>
              <w:t xml:space="preserve">Prompt AI: aula executive, mappe climatiche, studenti e professionisti che progettano soluzioni nature based, visual identity premium universitaria, landscape 16:9</w:t>
            </w:r>
          </w:p>
        </w:tc>
      </w:tr>
    </w:tbl>
    <w:p>
      <w:pPr>
        <w:pStyle w:val="Heading3"/>
      </w:pPr>
      <w:r>
        <w:t xml:space="preserve">Fonti da linkare nell'articolo</w:t>
      </w:r>
    </w:p>
    <w:p>
      <w:r>
        <w:t xml:space="preserve">• </w:t>
      </w:r>
      <w:hyperlink r:id="rId9">
        <w:r>
          <w:rPr>
            <w:rStyle w:val="Hyperlink"/>
          </w:rPr>
          <w:t xml:space="preserve">UN SDG 13 Climate Action</w:t>
        </w:r>
      </w:hyperlink>
      <w:r>
        <w:br/>
      </w:r>
      <w:r>
        <w:t xml:space="preserve">• </w:t>
      </w:r>
      <w:hyperlink r:id="rId10">
        <w:r>
          <w:rPr>
            <w:rStyle w:val="Hyperlink"/>
          </w:rPr>
          <w:t xml:space="preserve">European Climate Pact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  <w:style w:type="character" w:styleId="Hyperlink">
    <w:name w:val="Hyperlink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1" Type="http://schemas.openxmlformats.org/officeDocument/2006/relationships/hyperlink" Target="https://climate.ec.europa.eu/eu-action/carbon-farming_en" TargetMode="External"/><Relationship Id="rId2" Type="http://schemas.openxmlformats.org/officeDocument/2006/relationships/hyperlink" Target="https://climate.ec.europa.eu/eu-action/carbon-removals_en" TargetMode="External"/><Relationship Id="rId3" Type="http://schemas.openxmlformats.org/officeDocument/2006/relationships/hyperlink" Target="https://www.fao.org/global-soil-partnership/areas-of-work/soil-carbon/en/" TargetMode="External"/><Relationship Id="rId4" Type="http://schemas.openxmlformats.org/officeDocument/2006/relationships/hyperlink" Target="https://sciencebasedtargets.org/" TargetMode="External"/><Relationship Id="rId5" Type="http://schemas.openxmlformats.org/officeDocument/2006/relationships/hyperlink" Target="https://land.copernicus.eu/" TargetMode="External"/><Relationship Id="rId6" Type="http://schemas.openxmlformats.org/officeDocument/2006/relationships/hyperlink" Target="https://www.fao.org/digital-agriculture/en/" TargetMode="External"/><Relationship Id="rId7" Type="http://schemas.openxmlformats.org/officeDocument/2006/relationships/hyperlink" Target="https://efi.int/" TargetMode="External"/><Relationship Id="rId8" Type="http://schemas.openxmlformats.org/officeDocument/2006/relationships/hyperlink" Target="https://www.ipcc.ch/srccl/" TargetMode="External"/><Relationship Id="rId9" Type="http://schemas.openxmlformats.org/officeDocument/2006/relationships/hyperlink" Target="https://sdgs.un.org/goals/goal13" TargetMode="External"/><Relationship Id="rId10" Type="http://schemas.openxmlformats.org/officeDocument/2006/relationships/hyperlink" Target="https://climate-pact.europa.eu/index_en" TargetMode="External"/>
</Relationships>
</file>