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fontTable.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fonts/font13.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16.odttf" ContentType="application/vnd.openxmlformats-officedocument.obfuscatedFont"/>
  <Override PartName="/word/fonts/font7.odttf" ContentType="application/vnd.openxmlformats-officedocument.obfuscatedFont"/>
  <Override PartName="/word/fonts/font3.odttf" ContentType="application/vnd.openxmlformats-officedocument.obfuscatedFont"/>
  <Override PartName="/word/fonts/font18.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14.odttf" ContentType="application/vnd.openxmlformats-officedocument.obfuscatedFont"/>
  <Override PartName="/word/fonts/font5.odttf" ContentType="application/vnd.openxmlformats-officedocument.obfuscatedFont"/>
  <Override PartName="/word/header3.xml" ContentType="application/vnd.openxmlformats-officedocument.wordprocessingml.header+xml"/>
  <Override PartName="/word/media/image1.png" ContentType="image/png"/>
  <Override PartName="/word/media/image2.png" ContentType="image/png"/>
  <Override PartName="/word/fontTable.xml" ContentType="application/vnd.openxmlformats-officedocument.wordprocessingml.fontTable+xml"/>
  <Override PartName="/word/footer2.xml" ContentType="application/vnd.openxmlformats-officedocument.wordprocessingml.footer+xml"/>
  <Override PartName="/word/footnotes.xml" ContentType="application/vnd.openxmlformats-officedocument.wordprocessingml.footnote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bCs/>
          <w:sz w:val="84"/>
          <w:szCs w:val="84"/>
        </w:rPr>
      </w:pPr>
      <w:r>
        <w:rPr>
          <w:b/>
          <w:bCs/>
          <w:sz w:val="84"/>
          <w:szCs w:val="84"/>
        </w:rPr>
      </w:r>
    </w:p>
    <w:p>
      <w:pPr>
        <w:pStyle w:val="Normal"/>
        <w:jc w:val="center"/>
        <w:rPr>
          <w:b/>
          <w:b/>
          <w:bCs/>
          <w:sz w:val="96"/>
          <w:szCs w:val="96"/>
        </w:rPr>
      </w:pPr>
      <w:r>
        <w:rPr>
          <w:b/>
          <w:bCs/>
          <w:sz w:val="96"/>
          <w:szCs w:val="96"/>
        </w:rPr>
        <w:t>Statistical Techniques</w:t>
      </w:r>
    </w:p>
    <w:p>
      <w:pPr>
        <w:pStyle w:val="Normal"/>
        <w:jc w:val="center"/>
        <w:rPr>
          <w:b/>
          <w:b/>
          <w:bCs/>
          <w:sz w:val="56"/>
          <w:szCs w:val="56"/>
        </w:rPr>
      </w:pPr>
      <w:r>
        <w:rPr>
          <w:b/>
          <w:bCs/>
          <w:sz w:val="56"/>
          <w:szCs w:val="56"/>
        </w:rPr>
        <w:t>7MA505</w:t>
      </w:r>
    </w:p>
    <w:p>
      <w:pPr>
        <w:pStyle w:val="Normal"/>
        <w:jc w:val="center"/>
        <w:rPr>
          <w:b/>
          <w:b/>
          <w:bCs/>
          <w:sz w:val="96"/>
          <w:szCs w:val="96"/>
        </w:rPr>
      </w:pPr>
      <w:r>
        <w:rPr/>
        <w:drawing>
          <wp:inline distT="0" distB="0" distL="0" distR="0">
            <wp:extent cx="3909695" cy="3909695"/>
            <wp:effectExtent l="0" t="0" r="0" b="0"/>
            <wp:docPr id="1"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descr=""/>
                    <pic:cNvPicPr>
                      <a:picLocks noChangeAspect="1" noChangeArrowheads="1"/>
                    </pic:cNvPicPr>
                  </pic:nvPicPr>
                  <pic:blipFill>
                    <a:blip r:embed="rId2"/>
                    <a:stretch>
                      <a:fillRect/>
                    </a:stretch>
                  </pic:blipFill>
                  <pic:spPr bwMode="auto">
                    <a:xfrm>
                      <a:off x="0" y="0"/>
                      <a:ext cx="3909695" cy="3909695"/>
                    </a:xfrm>
                    <a:prstGeom prst="rect">
                      <a:avLst/>
                    </a:prstGeom>
                  </pic:spPr>
                </pic:pic>
              </a:graphicData>
            </a:graphic>
          </wp:inline>
        </w:drawing>
      </w:r>
    </w:p>
    <w:p>
      <w:pPr>
        <w:pStyle w:val="Title"/>
        <w:jc w:val="center"/>
        <w:rPr>
          <w:b w:val="false"/>
          <w:b w:val="false"/>
        </w:rPr>
      </w:pPr>
      <w:r>
        <w:rPr>
          <w:b w:val="false"/>
        </w:rPr>
      </w:r>
    </w:p>
    <w:p>
      <w:pPr>
        <w:pStyle w:val="Title"/>
        <w:jc w:val="center"/>
        <w:rPr>
          <w:b w:val="false"/>
          <w:b w:val="false"/>
        </w:rPr>
      </w:pPr>
      <w:r>
        <w:rPr>
          <w:b w:val="false"/>
        </w:rPr>
        <w:t>Assessment Brief: Portfolio</w:t>
      </w:r>
    </w:p>
    <w:p>
      <w:pPr>
        <w:pStyle w:val="Quote"/>
        <w:rPr>
          <w:i w:val="false"/>
          <w:i w:val="false"/>
          <w:iCs w:val="false"/>
          <w:sz w:val="48"/>
          <w:szCs w:val="48"/>
        </w:rPr>
      </w:pPr>
      <w:r>
        <w:rPr>
          <w:i w:val="false"/>
          <w:iCs w:val="false"/>
          <w:sz w:val="48"/>
          <w:szCs w:val="48"/>
        </w:rPr>
        <w:t>Dr. Petra Staynova</w:t>
      </w:r>
    </w:p>
    <w:p>
      <w:pPr>
        <w:pStyle w:val="Quote"/>
        <w:rPr>
          <w:b/>
          <w:b/>
          <w:bCs/>
        </w:rPr>
      </w:pPr>
      <w:r>
        <w:rPr>
          <w:i w:val="false"/>
          <w:iCs w:val="false"/>
          <w:sz w:val="48"/>
          <w:szCs w:val="48"/>
        </w:rPr>
        <w:t xml:space="preserve">  </w:t>
      </w:r>
      <w:r>
        <w:rPr>
          <w:b/>
          <w:bCs/>
          <w:i w:val="false"/>
          <w:iCs w:val="false"/>
          <w:sz w:val="48"/>
          <w:szCs w:val="48"/>
        </w:rPr>
        <w:t>Vassilis Markos</w:t>
      </w:r>
      <w:r>
        <w:br w:type="page"/>
      </w:r>
    </w:p>
    <w:p>
      <w:pPr>
        <w:pStyle w:val="Title"/>
        <w:rPr/>
      </w:pPr>
      <w:r>
        <w:rPr/>
        <w:t>Statistical Techniques 7MA505</w:t>
      </w:r>
    </w:p>
    <w:p>
      <w:pPr>
        <w:pStyle w:val="Normal"/>
        <w:keepNext w:val="true"/>
        <w:keepLines/>
        <w:pBdr/>
        <w:spacing w:before="240" w:after="0"/>
        <w:rPr>
          <w:b/>
          <w:b/>
          <w:bCs/>
          <w:color w:val="000000"/>
          <w:sz w:val="32"/>
          <w:szCs w:val="32"/>
        </w:rPr>
      </w:pPr>
      <w:r>
        <w:rPr>
          <w:b/>
          <w:bCs/>
          <w:color w:val="000000"/>
          <w:sz w:val="32"/>
          <w:szCs w:val="32"/>
        </w:rPr>
        <w:t>Contents</w:t>
      </w:r>
    </w:p>
    <w:sdt>
      <w:sdtPr>
        <w:docPartObj>
          <w:docPartGallery w:val="Table of Contents"/>
          <w:docPartUnique w:val="true"/>
        </w:docPartObj>
      </w:sdtPr>
      <w:sdtContent>
        <w:p>
          <w:pPr>
            <w:pStyle w:val="Normal"/>
            <w:pBdr/>
            <w:tabs>
              <w:tab w:val="clear" w:pos="720"/>
              <w:tab w:val="right" w:pos="9016" w:leader="none"/>
            </w:tabs>
            <w:spacing w:before="0" w:after="100"/>
            <w:rPr>
              <w:color w:val="000000"/>
              <w:sz w:val="24"/>
              <w:szCs w:val="24"/>
            </w:rPr>
          </w:pPr>
          <w:r>
            <w:fldChar w:fldCharType="begin"/>
          </w:r>
          <w:r>
            <w:rPr>
              <w:webHidden/>
              <w:rStyle w:val="IndexLink"/>
              <w:color w:val="000000"/>
            </w:rPr>
            <w:instrText xml:space="preserve"> TOC \z \o "1-9" \u \t "Heading 1,1,Heading 2,2,Heading 3,3" \h</w:instrText>
          </w:r>
          <w:r>
            <w:rPr>
              <w:webHidden/>
              <w:rStyle w:val="IndexLink"/>
              <w:color w:val="000000"/>
            </w:rPr>
            <w:fldChar w:fldCharType="separate"/>
          </w:r>
          <w:hyperlink w:anchor="_heading=h.gjdgxs">
            <w:r>
              <w:rPr>
                <w:webHidden/>
                <w:rStyle w:val="IndexLink"/>
                <w:color w:val="000000"/>
              </w:rPr>
              <w:t>Module Leader</w:t>
              <w:tab/>
              <w:t>3</w:t>
            </w:r>
          </w:hyperlink>
        </w:p>
        <w:p>
          <w:pPr>
            <w:pStyle w:val="Normal"/>
            <w:pBdr/>
            <w:tabs>
              <w:tab w:val="clear" w:pos="720"/>
              <w:tab w:val="right" w:pos="9016" w:leader="none"/>
            </w:tabs>
            <w:spacing w:before="0" w:after="100"/>
            <w:rPr>
              <w:color w:val="000000"/>
              <w:sz w:val="24"/>
              <w:szCs w:val="24"/>
            </w:rPr>
          </w:pPr>
          <w:hyperlink w:anchor="_heading=h.30j0zll">
            <w:r>
              <w:rPr>
                <w:webHidden/>
                <w:rStyle w:val="IndexLink"/>
                <w:color w:val="000000"/>
              </w:rPr>
              <w:t>Key dates and details</w:t>
              <w:tab/>
              <w:t>3</w:t>
            </w:r>
          </w:hyperlink>
        </w:p>
        <w:p>
          <w:pPr>
            <w:pStyle w:val="Normal"/>
            <w:pBdr/>
            <w:tabs>
              <w:tab w:val="clear" w:pos="720"/>
              <w:tab w:val="right" w:pos="9016" w:leader="none"/>
            </w:tabs>
            <w:spacing w:before="0" w:after="100"/>
            <w:rPr>
              <w:color w:val="000000"/>
              <w:sz w:val="24"/>
              <w:szCs w:val="24"/>
            </w:rPr>
          </w:pPr>
          <w:hyperlink w:anchor="_heading=h.1fob9te">
            <w:r>
              <w:rPr>
                <w:webHidden/>
                <w:rStyle w:val="IndexLink"/>
                <w:color w:val="000000"/>
              </w:rPr>
              <w:t>Description of the assessment</w:t>
              <w:tab/>
              <w:t>3</w:t>
            </w:r>
          </w:hyperlink>
        </w:p>
        <w:p>
          <w:pPr>
            <w:pStyle w:val="Normal"/>
            <w:pBdr/>
            <w:tabs>
              <w:tab w:val="clear" w:pos="720"/>
              <w:tab w:val="right" w:pos="9016" w:leader="none"/>
            </w:tabs>
            <w:spacing w:before="0" w:after="100"/>
            <w:rPr>
              <w:color w:val="000000"/>
              <w:sz w:val="24"/>
              <w:szCs w:val="24"/>
            </w:rPr>
          </w:pPr>
          <w:hyperlink w:anchor="_heading=h.3znysh7">
            <w:r>
              <w:rPr>
                <w:webHidden/>
                <w:rStyle w:val="IndexLink"/>
                <w:color w:val="000000"/>
              </w:rPr>
              <w:t>Assessment Content</w:t>
              <w:tab/>
              <w:t>4</w:t>
            </w:r>
          </w:hyperlink>
        </w:p>
        <w:p>
          <w:pPr>
            <w:pStyle w:val="Normal"/>
            <w:pBdr/>
            <w:tabs>
              <w:tab w:val="clear" w:pos="720"/>
              <w:tab w:val="right" w:pos="9016" w:leader="none"/>
            </w:tabs>
            <w:spacing w:before="0" w:after="100"/>
            <w:rPr>
              <w:color w:val="000000"/>
              <w:sz w:val="24"/>
              <w:szCs w:val="24"/>
            </w:rPr>
          </w:pPr>
          <w:hyperlink w:anchor="_heading=h.2et92p0">
            <w:r>
              <w:rPr>
                <w:webHidden/>
                <w:rStyle w:val="IndexLink"/>
                <w:color w:val="000000"/>
              </w:rPr>
              <w:t>Assessment Rubric</w:t>
              <w:tab/>
              <w:t>4</w:t>
            </w:r>
          </w:hyperlink>
        </w:p>
        <w:p>
          <w:pPr>
            <w:pStyle w:val="Normal"/>
            <w:pBdr/>
            <w:tabs>
              <w:tab w:val="clear" w:pos="720"/>
              <w:tab w:val="right" w:pos="9016" w:leader="none"/>
            </w:tabs>
            <w:spacing w:before="0" w:after="100"/>
            <w:rPr>
              <w:color w:val="000000"/>
              <w:sz w:val="24"/>
              <w:szCs w:val="24"/>
            </w:rPr>
          </w:pPr>
          <w:hyperlink w:anchor="_heading=h.tyjcwt">
            <w:r>
              <w:rPr>
                <w:webHidden/>
                <w:rStyle w:val="IndexLink"/>
                <w:color w:val="000000"/>
              </w:rPr>
              <w:t>Anonymous Marking</w:t>
              <w:tab/>
              <w:t>4</w:t>
            </w:r>
          </w:hyperlink>
        </w:p>
        <w:p>
          <w:pPr>
            <w:pStyle w:val="Normal"/>
            <w:pBdr/>
            <w:tabs>
              <w:tab w:val="clear" w:pos="720"/>
              <w:tab w:val="right" w:pos="9016" w:leader="none"/>
            </w:tabs>
            <w:spacing w:before="0" w:after="100"/>
            <w:rPr>
              <w:color w:val="000000"/>
              <w:sz w:val="24"/>
              <w:szCs w:val="24"/>
            </w:rPr>
          </w:pPr>
          <w:hyperlink w:anchor="_heading=h.3dy6vkm">
            <w:r>
              <w:rPr>
                <w:webHidden/>
                <w:rStyle w:val="IndexLink"/>
                <w:color w:val="000000"/>
              </w:rPr>
              <w:t>Assessment Regulations</w:t>
              <w:tab/>
              <w:t>5</w:t>
            </w:r>
          </w:hyperlink>
        </w:p>
        <w:p>
          <w:pPr>
            <w:pStyle w:val="Normal"/>
            <w:pBdr/>
            <w:tabs>
              <w:tab w:val="clear" w:pos="720"/>
              <w:tab w:val="right" w:pos="9016" w:leader="none"/>
            </w:tabs>
            <w:spacing w:before="0" w:after="100"/>
            <w:rPr>
              <w:color w:val="000000"/>
              <w:sz w:val="24"/>
              <w:szCs w:val="24"/>
            </w:rPr>
          </w:pPr>
          <w:hyperlink w:anchor="_heading=h.1t3h5sf">
            <w:r>
              <w:rPr>
                <w:webHidden/>
                <w:rStyle w:val="IndexLink"/>
                <w:color w:val="000000"/>
              </w:rPr>
              <w:t>Formative Assessment</w:t>
              <w:tab/>
              <w:t>5</w:t>
            </w:r>
          </w:hyperlink>
          <w:r>
            <w:rPr>
              <w:rStyle w:val="IndexLink"/>
              <w:color w:val="000000"/>
            </w:rPr>
            <w:fldChar w:fldCharType="end"/>
          </w:r>
        </w:p>
      </w:sdtContent>
    </w:sdt>
    <w:p>
      <w:pPr>
        <w:pStyle w:val="Normal"/>
        <w:widowControl/>
        <w:bidi w:val="0"/>
        <w:spacing w:lineRule="auto" w:line="259" w:before="0" w:after="160"/>
        <w:jc w:val="left"/>
        <w:rPr/>
      </w:pPr>
      <w:r>
        <w:rPr/>
      </w:r>
    </w:p>
    <w:p>
      <w:pPr>
        <w:pStyle w:val="Normal"/>
        <w:rPr>
          <w:b/>
          <w:b/>
          <w:bCs/>
          <w:sz w:val="32"/>
          <w:szCs w:val="32"/>
        </w:rPr>
      </w:pPr>
      <w:r>
        <w:rPr>
          <w:b/>
          <w:bCs/>
          <w:sz w:val="32"/>
          <w:szCs w:val="32"/>
        </w:rPr>
      </w:r>
      <w:r>
        <w:br w:type="page"/>
      </w:r>
    </w:p>
    <w:p>
      <w:pPr>
        <w:pStyle w:val="Heading1"/>
        <w:rPr/>
      </w:pPr>
      <w:bookmarkStart w:id="0" w:name="_heading=h.gjdgxs"/>
      <w:bookmarkEnd w:id="0"/>
      <w:r>
        <w:rPr/>
        <w:t>Module Leader</w:t>
      </w:r>
    </w:p>
    <w:p>
      <w:pPr>
        <w:pStyle w:val="Normal"/>
        <w:pBdr/>
        <w:spacing w:before="0" w:after="0"/>
        <w:ind w:firstLine="360"/>
        <w:rPr>
          <w:color w:val="000000"/>
        </w:rPr>
      </w:pPr>
      <w:bookmarkStart w:id="1" w:name="_Hlk214562163"/>
      <w:r>
        <w:rPr>
          <w:color w:val="000000"/>
        </w:rPr>
        <w:t>Dr Lee Barnby</w:t>
      </w:r>
    </w:p>
    <w:p>
      <w:pPr>
        <w:pStyle w:val="Normal"/>
        <w:pBdr/>
        <w:spacing w:before="0" w:after="0"/>
        <w:ind w:left="360" w:hanging="0"/>
        <w:rPr>
          <w:color w:val="000000"/>
        </w:rPr>
      </w:pPr>
      <w:r>
        <w:rPr>
          <w:color w:val="000000"/>
        </w:rPr>
        <w:t xml:space="preserve">Email: </w:t>
      </w:r>
      <w:hyperlink r:id="rId3">
        <w:r>
          <w:rPr>
            <w:color w:val="0563C1"/>
            <w:u w:val="single"/>
          </w:rPr>
          <w:t>l.barnby@derby.ac.uk</w:t>
        </w:r>
      </w:hyperlink>
    </w:p>
    <w:p>
      <w:pPr>
        <w:pStyle w:val="Normal"/>
        <w:pBdr/>
        <w:spacing w:before="0" w:after="0"/>
        <w:ind w:left="360" w:hanging="0"/>
        <w:rPr>
          <w:color w:val="000000"/>
        </w:rPr>
      </w:pPr>
      <w:r>
        <w:rPr>
          <w:color w:val="000000"/>
        </w:rPr>
        <w:t>Phone: 01332 591747</w:t>
      </w:r>
    </w:p>
    <w:p>
      <w:pPr>
        <w:pStyle w:val="Normal"/>
        <w:pBdr/>
        <w:ind w:left="360" w:hanging="0"/>
        <w:rPr>
          <w:color w:val="000000"/>
        </w:rPr>
      </w:pPr>
      <w:bookmarkStart w:id="2" w:name="_Hlk214562163"/>
      <w:r>
        <w:rPr>
          <w:color w:val="000000"/>
        </w:rPr>
        <w:t>Office: MS229 (office hour Thursday 11-12) also available on Teams chat</w:t>
      </w:r>
      <w:bookmarkEnd w:id="2"/>
    </w:p>
    <w:p>
      <w:pPr>
        <w:pStyle w:val="Normal"/>
        <w:pBdr/>
        <w:spacing w:before="0" w:after="0"/>
        <w:ind w:left="360" w:hanging="0"/>
        <w:rPr>
          <w:color w:val="000000"/>
        </w:rPr>
      </w:pPr>
      <w:r>
        <w:rPr>
          <w:color w:val="000000"/>
        </w:rPr>
        <w:t xml:space="preserve">Dr Petra Staynova and </w:t>
      </w:r>
    </w:p>
    <w:p>
      <w:pPr>
        <w:pStyle w:val="Normal"/>
        <w:pBdr/>
        <w:spacing w:before="0" w:after="0"/>
        <w:ind w:left="360" w:hanging="0"/>
        <w:rPr>
          <w:color w:val="000000"/>
        </w:rPr>
      </w:pPr>
      <w:r>
        <w:rPr>
          <w:color w:val="000000"/>
        </w:rPr>
        <w:t xml:space="preserve">Email: </w:t>
      </w:r>
      <w:hyperlink r:id="rId4">
        <w:r>
          <w:rPr>
            <w:color w:val="0563C1"/>
            <w:u w:val="single"/>
          </w:rPr>
          <w:t>P.Staynova@derby.ac.uk</w:t>
        </w:r>
      </w:hyperlink>
    </w:p>
    <w:p>
      <w:pPr>
        <w:pStyle w:val="Heading1"/>
        <w:rPr/>
      </w:pPr>
      <w:r>
        <w:rPr/>
        <w:t>Module Leader</w:t>
      </w:r>
    </w:p>
    <w:p>
      <w:pPr>
        <w:pStyle w:val="Normal"/>
        <w:pBdr/>
        <w:spacing w:before="0" w:after="0"/>
        <w:ind w:left="360" w:hanging="0"/>
        <w:rPr>
          <w:color w:val="000000"/>
        </w:rPr>
      </w:pPr>
      <w:r>
        <w:rPr>
          <w:color w:val="000000"/>
        </w:rPr>
        <w:t>Vassilis Markos</w:t>
      </w:r>
    </w:p>
    <w:p>
      <w:pPr>
        <w:pStyle w:val="Normal"/>
        <w:pBdr/>
        <w:spacing w:before="0" w:after="0"/>
        <w:ind w:left="360" w:hanging="0"/>
        <w:rPr>
          <w:color w:val="000000"/>
        </w:rPr>
      </w:pPr>
      <w:r>
        <w:rPr>
          <w:color w:val="000000"/>
        </w:rPr>
        <w:t xml:space="preserve">Email: </w:t>
      </w:r>
      <w:hyperlink r:id="rId5">
        <w:r>
          <w:rPr>
            <w:rStyle w:val="InternetLink"/>
            <w:color w:val="000000"/>
          </w:rPr>
          <w:t>v.markos@mc-class.gr</w:t>
        </w:r>
      </w:hyperlink>
    </w:p>
    <w:p>
      <w:pPr>
        <w:pStyle w:val="Normal"/>
        <w:pBdr/>
        <w:spacing w:before="0" w:after="0"/>
        <w:ind w:left="360" w:hanging="0"/>
        <w:rPr>
          <w:color w:val="000000"/>
        </w:rPr>
      </w:pPr>
      <w:r>
        <w:rPr>
          <w:color w:val="000000"/>
        </w:rPr>
        <w:t>Phone: + 30 210 8899664</w:t>
      </w:r>
    </w:p>
    <w:p>
      <w:pPr>
        <w:pStyle w:val="Normal"/>
        <w:pBdr/>
        <w:ind w:left="360" w:hanging="0"/>
        <w:rPr>
          <w:color w:val="000000"/>
        </w:rPr>
      </w:pPr>
      <w:r>
        <w:rPr>
          <w:color w:val="000000"/>
        </w:rPr>
        <w:t xml:space="preserve">Office: </w:t>
      </w:r>
      <w:r>
        <w:rPr>
          <w:color w:val="000000"/>
        </w:rPr>
        <w:t>Online.</w:t>
      </w:r>
    </w:p>
    <w:p>
      <w:pPr>
        <w:pStyle w:val="Normal"/>
        <w:pBdr/>
        <w:rPr>
          <w:color w:val="000000"/>
        </w:rPr>
      </w:pPr>
      <w:r>
        <w:rPr>
          <w:color w:val="000000"/>
        </w:rPr>
      </w:r>
    </w:p>
    <w:p>
      <w:pPr>
        <w:pStyle w:val="Heading1"/>
        <w:rPr/>
      </w:pPr>
      <w:bookmarkStart w:id="3" w:name="_heading=h.30j0zll"/>
      <w:bookmarkEnd w:id="3"/>
      <w:r>
        <w:rPr/>
        <w:t>Key dates and details</w:t>
      </w:r>
    </w:p>
    <w:p>
      <w:pPr>
        <w:pStyle w:val="Normal"/>
        <w:rPr/>
      </w:pPr>
      <w:r>
        <w:rPr/>
      </w:r>
    </w:p>
    <w:tbl>
      <w:tblPr>
        <w:tblStyle w:val="a1"/>
        <w:tblW w:w="9277"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4110"/>
        <w:gridCol w:w="5166"/>
      </w:tblGrid>
      <w:tr>
        <w:trPr/>
        <w:tc>
          <w:tcPr>
            <w:tcW w:w="4110" w:type="dxa"/>
            <w:tcBorders/>
          </w:tcPr>
          <w:p>
            <w:pPr>
              <w:pStyle w:val="Normal"/>
              <w:widowControl w:val="false"/>
              <w:spacing w:lineRule="auto" w:line="360" w:before="0" w:after="0"/>
              <w:rPr>
                <w:b/>
                <w:b/>
                <w:bCs/>
                <w:sz w:val="22"/>
                <w:szCs w:val="22"/>
              </w:rPr>
            </w:pPr>
            <w:r>
              <w:rPr>
                <w:b/>
                <w:bCs/>
                <w:sz w:val="22"/>
                <w:szCs w:val="22"/>
              </w:rPr>
              <w:t>Assessment Type:</w:t>
            </w:r>
          </w:p>
        </w:tc>
        <w:tc>
          <w:tcPr>
            <w:tcW w:w="5166" w:type="dxa"/>
            <w:tcBorders/>
          </w:tcPr>
          <w:p>
            <w:pPr>
              <w:pStyle w:val="Normal"/>
              <w:widowControl w:val="false"/>
              <w:spacing w:lineRule="auto" w:line="360" w:before="0" w:after="0"/>
              <w:rPr>
                <w:color w:val="000000"/>
                <w:sz w:val="22"/>
                <w:szCs w:val="22"/>
              </w:rPr>
            </w:pPr>
            <w:r>
              <w:rPr>
                <w:color w:val="000000"/>
                <w:sz w:val="22"/>
                <w:szCs w:val="22"/>
              </w:rPr>
              <w:t>Individual</w:t>
            </w:r>
          </w:p>
          <w:p>
            <w:pPr>
              <w:pStyle w:val="Normal"/>
              <w:widowControl w:val="false"/>
              <w:spacing w:lineRule="auto" w:line="360" w:before="0" w:after="0"/>
              <w:rPr>
                <w:b/>
                <w:b/>
                <w:bCs/>
                <w:color w:val="000000"/>
                <w:sz w:val="22"/>
                <w:szCs w:val="22"/>
              </w:rPr>
            </w:pPr>
            <w:r>
              <w:rPr>
                <w:color w:val="000000"/>
                <w:sz w:val="22"/>
                <w:szCs w:val="22"/>
              </w:rPr>
              <w:t>Portfolio</w:t>
            </w:r>
          </w:p>
        </w:tc>
      </w:tr>
      <w:tr>
        <w:trPr/>
        <w:tc>
          <w:tcPr>
            <w:tcW w:w="4110" w:type="dxa"/>
            <w:tcBorders/>
          </w:tcPr>
          <w:p>
            <w:pPr>
              <w:pStyle w:val="Normal"/>
              <w:widowControl w:val="false"/>
              <w:spacing w:lineRule="auto" w:line="360" w:before="0" w:after="0"/>
              <w:rPr>
                <w:b/>
                <w:b/>
                <w:bCs/>
                <w:sz w:val="22"/>
                <w:szCs w:val="22"/>
              </w:rPr>
            </w:pPr>
            <w:r>
              <w:rPr>
                <w:b/>
                <w:bCs/>
                <w:sz w:val="22"/>
                <w:szCs w:val="22"/>
              </w:rPr>
              <w:t xml:space="preserve">Assessment weighting: </w:t>
            </w:r>
          </w:p>
        </w:tc>
        <w:tc>
          <w:tcPr>
            <w:tcW w:w="5166" w:type="dxa"/>
            <w:tcBorders/>
          </w:tcPr>
          <w:p>
            <w:pPr>
              <w:pStyle w:val="Normal"/>
              <w:widowControl w:val="false"/>
              <w:spacing w:lineRule="auto" w:line="360" w:before="0" w:after="0"/>
              <w:rPr>
                <w:color w:val="FF0000"/>
                <w:sz w:val="22"/>
                <w:szCs w:val="22"/>
              </w:rPr>
            </w:pPr>
            <w:r>
              <w:rPr>
                <w:color w:val="000000"/>
                <w:sz w:val="22"/>
                <w:szCs w:val="22"/>
              </w:rPr>
              <w:t>100</w:t>
            </w:r>
            <w:r>
              <w:rPr>
                <w:sz w:val="22"/>
                <w:szCs w:val="22"/>
              </w:rPr>
              <w:t>%</w:t>
            </w:r>
          </w:p>
        </w:tc>
      </w:tr>
      <w:tr>
        <w:trPr/>
        <w:tc>
          <w:tcPr>
            <w:tcW w:w="4110" w:type="dxa"/>
            <w:tcBorders/>
          </w:tcPr>
          <w:p>
            <w:pPr>
              <w:pStyle w:val="Normal"/>
              <w:widowControl w:val="false"/>
              <w:spacing w:lineRule="auto" w:line="360" w:before="0" w:after="0"/>
              <w:rPr>
                <w:b/>
                <w:b/>
                <w:bCs/>
                <w:sz w:val="22"/>
                <w:szCs w:val="22"/>
              </w:rPr>
            </w:pPr>
            <w:r>
              <w:rPr>
                <w:b/>
                <w:bCs/>
                <w:sz w:val="22"/>
                <w:szCs w:val="22"/>
              </w:rPr>
              <w:t>Word count/Length:</w:t>
            </w:r>
          </w:p>
        </w:tc>
        <w:tc>
          <w:tcPr>
            <w:tcW w:w="5166" w:type="dxa"/>
            <w:tcBorders/>
          </w:tcPr>
          <w:p>
            <w:pPr>
              <w:pStyle w:val="Normal"/>
              <w:widowControl w:val="false"/>
              <w:spacing w:lineRule="auto" w:line="360" w:before="0" w:after="0"/>
              <w:rPr>
                <w:sz w:val="22"/>
                <w:szCs w:val="22"/>
              </w:rPr>
            </w:pPr>
            <w:r>
              <w:rPr>
                <w:sz w:val="22"/>
                <w:szCs w:val="22"/>
              </w:rPr>
              <w:t>T</w:t>
            </w:r>
            <w:r>
              <w:rPr/>
              <w:t>ypically,</w:t>
            </w:r>
            <w:r>
              <w:rPr>
                <w:sz w:val="22"/>
                <w:szCs w:val="22"/>
              </w:rPr>
              <w:t xml:space="preserve"> a report of several (~15) pages generated via markdown with figures, including a formatted executive summary at the beginning and a reflective section at the end. Equivalent effort to a 4500-word written report.</w:t>
            </w:r>
          </w:p>
        </w:tc>
      </w:tr>
      <w:tr>
        <w:trPr/>
        <w:tc>
          <w:tcPr>
            <w:tcW w:w="4110" w:type="dxa"/>
            <w:tcBorders/>
          </w:tcPr>
          <w:p>
            <w:pPr>
              <w:pStyle w:val="Normal"/>
              <w:widowControl w:val="false"/>
              <w:spacing w:lineRule="auto" w:line="360" w:before="0" w:after="0"/>
              <w:rPr>
                <w:b/>
                <w:b/>
                <w:bCs/>
                <w:sz w:val="22"/>
                <w:szCs w:val="22"/>
              </w:rPr>
            </w:pPr>
            <w:r>
              <w:rPr>
                <w:b/>
                <w:bCs/>
                <w:sz w:val="22"/>
                <w:szCs w:val="22"/>
              </w:rPr>
              <w:t>Learning Outcomes:</w:t>
            </w:r>
          </w:p>
        </w:tc>
        <w:tc>
          <w:tcPr>
            <w:tcW w:w="5166" w:type="dxa"/>
            <w:tcBorders/>
          </w:tcPr>
          <w:p>
            <w:pPr>
              <w:pStyle w:val="Normal"/>
              <w:widowControl w:val="false"/>
              <w:spacing w:lineRule="auto" w:line="360" w:before="0" w:after="0"/>
              <w:rPr>
                <w:color w:val="FF0000"/>
                <w:sz w:val="22"/>
                <w:szCs w:val="22"/>
              </w:rPr>
            </w:pPr>
            <w:r>
              <w:rPr>
                <w:color w:val="000000"/>
                <w:sz w:val="22"/>
                <w:szCs w:val="22"/>
              </w:rPr>
              <w:t>1 and 2</w:t>
            </w:r>
          </w:p>
        </w:tc>
      </w:tr>
      <w:tr>
        <w:trPr/>
        <w:tc>
          <w:tcPr>
            <w:tcW w:w="4110" w:type="dxa"/>
            <w:tcBorders/>
          </w:tcPr>
          <w:p>
            <w:pPr>
              <w:pStyle w:val="Normal"/>
              <w:widowControl w:val="false"/>
              <w:spacing w:lineRule="auto" w:line="360" w:before="0" w:after="0"/>
              <w:rPr>
                <w:b/>
                <w:b/>
                <w:bCs/>
                <w:sz w:val="22"/>
                <w:szCs w:val="22"/>
              </w:rPr>
            </w:pPr>
            <w:r>
              <w:rPr>
                <w:b/>
                <w:bCs/>
                <w:sz w:val="22"/>
                <w:szCs w:val="22"/>
              </w:rPr>
              <w:t>Submission Method:</w:t>
            </w:r>
          </w:p>
        </w:tc>
        <w:tc>
          <w:tcPr>
            <w:tcW w:w="5166" w:type="dxa"/>
            <w:tcBorders/>
          </w:tcPr>
          <w:p>
            <w:pPr>
              <w:pStyle w:val="Normal"/>
              <w:widowControl w:val="false"/>
              <w:spacing w:lineRule="auto" w:line="360" w:before="0" w:after="0"/>
              <w:rPr>
                <w:color w:val="000000"/>
                <w:sz w:val="22"/>
                <w:szCs w:val="22"/>
              </w:rPr>
            </w:pPr>
            <w:r>
              <w:rPr>
                <w:color w:val="000000"/>
                <w:sz w:val="22"/>
                <w:szCs w:val="22"/>
              </w:rPr>
              <w:t>Blackboard Assignment</w:t>
            </w:r>
          </w:p>
        </w:tc>
      </w:tr>
      <w:tr>
        <w:trPr/>
        <w:tc>
          <w:tcPr>
            <w:tcW w:w="4110" w:type="dxa"/>
            <w:tcBorders/>
          </w:tcPr>
          <w:p>
            <w:pPr>
              <w:pStyle w:val="Normal"/>
              <w:widowControl w:val="false"/>
              <w:spacing w:lineRule="auto" w:line="360" w:before="0" w:after="0"/>
              <w:rPr>
                <w:b/>
                <w:b/>
                <w:bCs/>
                <w:sz w:val="22"/>
                <w:szCs w:val="22"/>
              </w:rPr>
            </w:pPr>
            <w:r>
              <w:rPr>
                <w:b/>
                <w:bCs/>
                <w:sz w:val="22"/>
                <w:szCs w:val="22"/>
              </w:rPr>
              <w:t>Submission Date:</w:t>
            </w:r>
          </w:p>
        </w:tc>
        <w:tc>
          <w:tcPr>
            <w:tcW w:w="5166" w:type="dxa"/>
            <w:tcBorders/>
          </w:tcPr>
          <w:p>
            <w:pPr>
              <w:pStyle w:val="Normal"/>
              <w:widowControl w:val="false"/>
              <w:spacing w:lineRule="auto" w:line="360" w:before="0" w:after="0"/>
              <w:rPr>
                <w:b/>
                <w:b/>
                <w:bCs/>
                <w:sz w:val="22"/>
                <w:szCs w:val="22"/>
              </w:rPr>
            </w:pPr>
            <w:r>
              <w:rPr>
                <w:sz w:val="22"/>
                <w:szCs w:val="22"/>
              </w:rPr>
              <w:t>17:00 UTC+03:00 (Athens)</w:t>
            </w:r>
            <w:r>
              <w:rPr>
                <w:sz w:val="22"/>
                <w:szCs w:val="22"/>
              </w:rPr>
              <w:t xml:space="preserve"> time,</w:t>
            </w:r>
            <w:r>
              <w:rPr>
                <w:color w:val="FF0000"/>
                <w:sz w:val="22"/>
                <w:szCs w:val="22"/>
              </w:rPr>
              <w:t xml:space="preserve"> </w:t>
            </w:r>
            <w:r>
              <w:rPr>
                <w:color w:val="FF0000"/>
                <w:sz w:val="22"/>
                <w:szCs w:val="22"/>
              </w:rPr>
              <w:t>Friday</w:t>
            </w:r>
            <w:r>
              <w:rPr>
                <w:color w:val="000000"/>
                <w:sz w:val="22"/>
                <w:szCs w:val="22"/>
              </w:rPr>
              <w:t xml:space="preserve"> </w:t>
            </w:r>
            <w:r>
              <w:rPr>
                <w:color w:val="000000"/>
                <w:sz w:val="22"/>
                <w:szCs w:val="22"/>
              </w:rPr>
              <w:t>22</w:t>
            </w:r>
            <w:r>
              <w:rPr>
                <w:color w:val="000000"/>
                <w:sz w:val="22"/>
                <w:szCs w:val="22"/>
              </w:rPr>
              <w:t>/1/202</w:t>
            </w:r>
            <w:r>
              <w:rPr>
                <w:color w:val="000000"/>
                <w:sz w:val="22"/>
                <w:szCs w:val="22"/>
              </w:rPr>
              <w:t>7</w:t>
            </w:r>
            <w:r>
              <w:rPr>
                <w:color w:val="000000"/>
                <w:sz w:val="22"/>
                <w:szCs w:val="22"/>
              </w:rPr>
              <w:br/>
            </w:r>
            <w:r>
              <w:rPr>
                <w:sz w:val="22"/>
                <w:szCs w:val="22"/>
              </w:rPr>
              <w:t>Other formative tasks will need to be prepared for tutorial sessions.</w:t>
            </w:r>
          </w:p>
        </w:tc>
      </w:tr>
      <w:tr>
        <w:trPr/>
        <w:tc>
          <w:tcPr>
            <w:tcW w:w="4110" w:type="dxa"/>
            <w:tcBorders/>
          </w:tcPr>
          <w:p>
            <w:pPr>
              <w:pStyle w:val="Normal"/>
              <w:widowControl w:val="false"/>
              <w:spacing w:lineRule="auto" w:line="360" w:before="0" w:after="0"/>
              <w:rPr>
                <w:b/>
                <w:b/>
                <w:bCs/>
                <w:sz w:val="22"/>
                <w:szCs w:val="22"/>
              </w:rPr>
            </w:pPr>
            <w:r>
              <w:rPr>
                <w:b/>
                <w:bCs/>
                <w:sz w:val="22"/>
                <w:szCs w:val="22"/>
              </w:rPr>
              <w:t>Provisional Feedback Release Date:</w:t>
            </w:r>
          </w:p>
        </w:tc>
        <w:tc>
          <w:tcPr>
            <w:tcW w:w="5166" w:type="dxa"/>
            <w:tcBorders/>
          </w:tcPr>
          <w:p>
            <w:pPr>
              <w:pStyle w:val="Normal"/>
              <w:widowControl w:val="false"/>
              <w:spacing w:lineRule="auto" w:line="360" w:before="0" w:after="0"/>
              <w:rPr>
                <w:b/>
                <w:b/>
                <w:bCs/>
                <w:color w:val="000000"/>
                <w:sz w:val="22"/>
                <w:szCs w:val="22"/>
              </w:rPr>
            </w:pPr>
            <w:r>
              <w:rPr>
                <w:color w:val="000000"/>
                <w:sz w:val="22"/>
                <w:szCs w:val="22"/>
              </w:rPr>
              <w:t>1</w:t>
            </w:r>
            <w:r>
              <w:rPr>
                <w:color w:val="000000"/>
                <w:sz w:val="22"/>
                <w:szCs w:val="22"/>
              </w:rPr>
              <w:t>7:00</w:t>
            </w:r>
            <w:r>
              <w:rPr>
                <w:color w:val="000000"/>
                <w:sz w:val="22"/>
                <w:szCs w:val="22"/>
              </w:rPr>
              <w:t xml:space="preserve"> </w:t>
            </w:r>
            <w:r>
              <w:rPr>
                <w:color w:val="000000"/>
                <w:sz w:val="22"/>
                <w:szCs w:val="22"/>
              </w:rPr>
              <w:t xml:space="preserve">UTC+03:00 (Athens) </w:t>
            </w:r>
            <w:r>
              <w:rPr>
                <w:color w:val="000000"/>
                <w:sz w:val="22"/>
                <w:szCs w:val="22"/>
              </w:rPr>
              <w:t xml:space="preserve">time, </w:t>
            </w:r>
            <w:r>
              <w:rPr>
                <w:color w:val="000000"/>
                <w:sz w:val="22"/>
                <w:szCs w:val="22"/>
              </w:rPr>
              <w:t>Friday</w:t>
            </w:r>
            <w:r>
              <w:rPr>
                <w:color w:val="000000"/>
                <w:sz w:val="22"/>
                <w:szCs w:val="22"/>
              </w:rPr>
              <w:t xml:space="preserve"> </w:t>
            </w:r>
            <w:r>
              <w:rPr>
                <w:color w:val="000000"/>
                <w:sz w:val="22"/>
                <w:szCs w:val="22"/>
              </w:rPr>
              <w:t>6</w:t>
            </w:r>
            <w:r>
              <w:rPr>
                <w:color w:val="000000"/>
                <w:sz w:val="22"/>
                <w:szCs w:val="22"/>
              </w:rPr>
              <w:t>/2/202</w:t>
            </w:r>
            <w:r>
              <w:rPr>
                <w:color w:val="000000"/>
                <w:sz w:val="22"/>
                <w:szCs w:val="22"/>
              </w:rPr>
              <w:t>7</w:t>
            </w:r>
          </w:p>
        </w:tc>
      </w:tr>
    </w:tbl>
    <w:p>
      <w:pPr>
        <w:pStyle w:val="Normal"/>
        <w:rPr>
          <w:color w:val="7030A0"/>
        </w:rPr>
      </w:pPr>
      <w:r>
        <w:rPr>
          <w:color w:val="7030A0"/>
        </w:rPr>
      </w:r>
    </w:p>
    <w:p>
      <w:pPr>
        <w:pStyle w:val="Heading1"/>
        <w:rPr/>
      </w:pPr>
      <w:bookmarkStart w:id="4" w:name="_heading=h.1fob9te"/>
      <w:bookmarkEnd w:id="4"/>
      <w:r>
        <w:rPr/>
        <w:t>Description of the assessment</w:t>
      </w:r>
    </w:p>
    <w:p>
      <w:pPr>
        <w:pStyle w:val="Normal"/>
        <w:jc w:val="both"/>
        <w:rPr>
          <w:color w:val="000000"/>
        </w:rPr>
      </w:pPr>
      <w:r>
        <w:rPr/>
        <w:t xml:space="preserve">The assessment will be by means of a portfolio of learning artefacts demonstrating the achievement of the learning outcomes. For </w:t>
      </w:r>
      <w:r>
        <w:rPr>
          <w:i/>
          <w:iCs/>
        </w:rPr>
        <w:t>equivalence</w:t>
      </w:r>
      <w:r>
        <w:rPr/>
        <w:t>, the assessment workload will equate to around 4500 words. Typically, this will consist of</w:t>
      </w:r>
      <w:r>
        <w:rPr>
          <w:color w:val="7030A0"/>
        </w:rPr>
        <w:t xml:space="preserve"> </w:t>
      </w:r>
      <w:r>
        <w:rPr>
          <w:color w:val="000000"/>
        </w:rPr>
        <w:t xml:space="preserve">a small number of </w:t>
      </w:r>
      <w:r>
        <w:rPr>
          <w:i/>
          <w:iCs/>
          <w:color w:val="000000"/>
        </w:rPr>
        <w:t>R</w:t>
      </w:r>
      <w:r>
        <w:rPr>
          <w:color w:val="000000"/>
        </w:rPr>
        <w:t xml:space="preserve"> Markdown documents in which you will present well documented examples or case studies where you correctly apply statistical techniques to one or more datasets of your choice. This should include an executive summary which includes the main findings and a reflection on how you have demonstrated the learning outcomes.</w:t>
      </w:r>
    </w:p>
    <w:p>
      <w:pPr>
        <w:pStyle w:val="Normal"/>
        <w:rPr>
          <w:color w:val="000000"/>
        </w:rPr>
      </w:pPr>
      <w:r>
        <w:rPr>
          <w:color w:val="000000"/>
        </w:rPr>
        <w:t>The learning outcomes themselves are</w:t>
      </w:r>
    </w:p>
    <w:p>
      <w:pPr>
        <w:pStyle w:val="Normal"/>
        <w:numPr>
          <w:ilvl w:val="0"/>
          <w:numId w:val="1"/>
        </w:numPr>
        <w:pBdr/>
        <w:spacing w:before="0" w:after="0"/>
        <w:rPr/>
      </w:pPr>
      <w:r>
        <w:rPr>
          <w:color w:val="000000"/>
        </w:rPr>
        <w:t>Obtain a comprehensive understanding of statistical concepts and a critical awareness of their applications to real-life [engineering]</w:t>
      </w:r>
      <w:r>
        <w:rPr>
          <w:rStyle w:val="FootnoteAnchor"/>
          <w:color w:val="000000"/>
          <w:vertAlign w:val="superscript"/>
        </w:rPr>
        <w:footnoteReference w:id="2"/>
      </w:r>
      <w:r>
        <w:rPr>
          <w:color w:val="000000"/>
        </w:rPr>
        <w:t xml:space="preserve"> problems, together with the ethical consequences.</w:t>
      </w:r>
    </w:p>
    <w:p>
      <w:pPr>
        <w:pStyle w:val="Normal"/>
        <w:numPr>
          <w:ilvl w:val="0"/>
          <w:numId w:val="1"/>
        </w:numPr>
        <w:pBdr/>
        <w:rPr/>
      </w:pPr>
      <w:r>
        <w:rPr>
          <w:color w:val="000000"/>
        </w:rPr>
        <w:t>Develop comprehensive hypothesis testing and statistical analysis to investigate relevant complex problems</w:t>
      </w:r>
      <w:r>
        <w:rPr>
          <w:color w:val="7030A0"/>
        </w:rPr>
        <w:t>.</w:t>
      </w:r>
    </w:p>
    <w:p>
      <w:pPr>
        <w:pStyle w:val="Normal"/>
        <w:rPr>
          <w:color w:val="000000"/>
        </w:rPr>
      </w:pPr>
      <w:r>
        <w:rPr>
          <w:color w:val="000000"/>
        </w:rPr>
        <w:t>The assessment is specified in this way, rather than in the style of a scientific report or paper, so that you can include elements from different datasets, such that you can demonstrate understanding of a broad range of statistical techniques.</w:t>
      </w:r>
    </w:p>
    <w:p>
      <w:pPr>
        <w:pStyle w:val="Normal"/>
        <w:rPr>
          <w:color w:val="000000"/>
        </w:rPr>
      </w:pPr>
      <w:r>
        <w:rPr>
          <w:color w:val="000000"/>
        </w:rPr>
        <w:t xml:space="preserve">If you wish to present your portfolio in a different way, then you </w:t>
      </w:r>
      <w:r>
        <w:rPr>
          <w:i/>
          <w:iCs/>
          <w:color w:val="000000"/>
        </w:rPr>
        <w:t>must</w:t>
      </w:r>
      <w:r>
        <w:rPr>
          <w:color w:val="000000"/>
        </w:rPr>
        <w:t xml:space="preserve"> check with the module leader that this is appropriate.</w:t>
      </w:r>
    </w:p>
    <w:p>
      <w:pPr>
        <w:pStyle w:val="Heading1"/>
        <w:rPr/>
      </w:pPr>
      <w:bookmarkStart w:id="5" w:name="_heading=h.3znysh7"/>
      <w:bookmarkEnd w:id="5"/>
      <w:r>
        <w:rPr/>
        <w:t>Assessment Content</w:t>
      </w:r>
    </w:p>
    <w:p>
      <w:pPr>
        <w:pStyle w:val="Normal"/>
        <w:rPr>
          <w:color w:val="000000"/>
        </w:rPr>
      </w:pPr>
      <w:r>
        <w:rPr>
          <w:color w:val="000000"/>
        </w:rPr>
        <w:t>This section contains additional information on the content of the recommended portfolio components.</w:t>
      </w:r>
    </w:p>
    <w:p>
      <w:pPr>
        <w:pStyle w:val="Heading2"/>
        <w:rPr/>
      </w:pPr>
      <w:r>
        <w:rPr/>
        <w:t>The executive report</w:t>
      </w:r>
    </w:p>
    <w:p>
      <w:pPr>
        <w:pStyle w:val="Normal"/>
        <w:jc w:val="both"/>
        <w:rPr>
          <w:color w:val="000000"/>
        </w:rPr>
      </w:pPr>
      <w:r>
        <w:rPr>
          <w:color w:val="000000"/>
        </w:rPr>
        <w:t xml:space="preserve">The aim of the report is firstly to summarise the findings of the examples that you have submitted. You should clearly state what was being tested as well as the outcome. Mention the evidence for this but not the calculation itself, which should be shown in the markdown script.  Include any assumptions made or how they were tested. Secondly you should reflect on how your portfolio achieves the learning outcomes. In total this should be around 3-4 pages long. You should use suitable markdown features for formatting this section. There is no need for a title page or table of contents for a document of this size. Any techniques introduced in the lectures or course materials do </w:t>
      </w:r>
      <w:r>
        <w:rPr>
          <w:color w:val="000000"/>
          <w:u w:val="single"/>
        </w:rPr>
        <w:t>not</w:t>
      </w:r>
      <w:r>
        <w:rPr>
          <w:color w:val="000000"/>
        </w:rPr>
        <w:t xml:space="preserve"> need to be referenced. You </w:t>
      </w:r>
      <w:r>
        <w:rPr/>
        <w:t>should reference</w:t>
      </w:r>
      <w:r>
        <w:rPr>
          <w:color w:val="000000"/>
        </w:rPr>
        <w:t xml:space="preserve"> data sources and any more advanced techniques that you wish to adopt. The report is a summary so you shouldn’t find yourself explaining the techniques themselves. This section of the report may be checked for similarity.</w:t>
      </w:r>
    </w:p>
    <w:p>
      <w:pPr>
        <w:pStyle w:val="Heading2"/>
        <w:rPr/>
      </w:pPr>
      <w:r>
        <w:rPr/>
        <w:t>The case studies</w:t>
      </w:r>
    </w:p>
    <w:p>
      <w:pPr>
        <w:pStyle w:val="Normal"/>
        <w:jc w:val="both"/>
        <w:rPr/>
      </w:pPr>
      <w:r>
        <w:rPr/>
        <w:t>You will start by selecting some publicly available datasets which you will use to test hypotheses using the techniques that we will study. Although you can start to think about this early in the module it will inevitably be an iterative process as you learn more techniques and see how they are applied. Therefore, you will not necessarily be able to select a single dataset for which you demonstrate a large range of techniques. It may be simpler to use two or three examples. There will be the opportunity to discuss your datasets and the questions you might pose in tutorials for formative feedback.</w:t>
      </w:r>
    </w:p>
    <w:p>
      <w:pPr>
        <w:pStyle w:val="Normal"/>
        <w:jc w:val="both"/>
        <w:rPr/>
      </w:pPr>
      <w:r>
        <w:rPr/>
        <w:t xml:space="preserve">It is recommended to use </w:t>
      </w:r>
      <w:r>
        <w:rPr>
          <w:i/>
          <w:iCs/>
        </w:rPr>
        <w:t>R</w:t>
      </w:r>
      <w:r>
        <w:rPr/>
        <w:t xml:space="preserve"> to process and investigate your data. By using the </w:t>
      </w:r>
      <w:r>
        <w:rPr>
          <w:i/>
          <w:iCs/>
        </w:rPr>
        <w:t>R</w:t>
      </w:r>
      <w:r>
        <w:rPr/>
        <w:t xml:space="preserve"> Markdown feature, you can produce annotated scripts which both explain what you are doing </w:t>
      </w:r>
      <w:r>
        <w:rPr>
          <w:u w:val="single"/>
        </w:rPr>
        <w:t>and</w:t>
      </w:r>
      <w:r>
        <w:rPr/>
        <w:t xml:space="preserve"> show the results of calculations performed. It is possible to export the script output as a pdf or Word document, and this is what you should submit in addition to the script itself. The reason for this is to ensure that the document appears correctly to the person marking your work, without having to access the data or load additional libraries. The original script is submitted in addition to this exported version.</w:t>
      </w:r>
    </w:p>
    <w:p>
      <w:pPr>
        <w:pStyle w:val="Normal"/>
        <w:jc w:val="both"/>
        <w:rPr/>
      </w:pPr>
      <w:r>
        <w:rPr/>
        <w:t>This section will not be checked using Turnitin because the R commands will inevitably generate a large matching score.</w:t>
      </w:r>
    </w:p>
    <w:p>
      <w:pPr>
        <w:pStyle w:val="Normal"/>
        <w:jc w:val="both"/>
        <w:rPr/>
      </w:pPr>
      <w:r>
        <w:rPr/>
        <w:t xml:space="preserve">As a final reminder, when making the submission you should attach the </w:t>
      </w:r>
      <w:r>
        <w:rPr>
          <w:b/>
          <w:bCs/>
        </w:rPr>
        <w:t>pdf</w:t>
      </w:r>
      <w:r>
        <w:rPr/>
        <w:t xml:space="preserve"> or </w:t>
      </w:r>
      <w:r>
        <w:rPr>
          <w:b/>
          <w:bCs/>
        </w:rPr>
        <w:t>Word</w:t>
      </w:r>
      <w:r>
        <w:rPr/>
        <w:t xml:space="preserve"> document (i.e. the result of ‘knitting’ in R) </w:t>
      </w:r>
      <w:r>
        <w:rPr>
          <w:u w:val="single"/>
        </w:rPr>
        <w:t>and</w:t>
      </w:r>
      <w:r>
        <w:rPr/>
        <w:t xml:space="preserve"> the markdown script (.</w:t>
      </w:r>
      <w:r>
        <w:rPr>
          <w:b/>
          <w:bCs/>
        </w:rPr>
        <w:t>rmd</w:t>
      </w:r>
      <w:r>
        <w:rPr/>
        <w:t xml:space="preserve"> format). If students wish to use python, then the equivalents should be substituted.</w:t>
      </w:r>
    </w:p>
    <w:tbl>
      <w:tblPr>
        <w:tblStyle w:val="a2"/>
        <w:tblpPr w:bottomFromText="0" w:horzAnchor="text" w:leftFromText="180" w:rightFromText="180" w:tblpX="0" w:tblpY="515" w:topFromText="0" w:vertAnchor="text"/>
        <w:tblW w:w="10201" w:type="dxa"/>
        <w:jc w:val="left"/>
        <w:tblInd w:w="0" w:type="dxa"/>
        <w:tblLayout w:type="fixed"/>
        <w:tblCellMar>
          <w:top w:w="80" w:type="dxa"/>
          <w:left w:w="80" w:type="dxa"/>
          <w:bottom w:w="80" w:type="dxa"/>
          <w:right w:w="80" w:type="dxa"/>
        </w:tblCellMar>
        <w:tblLook w:val="0400" w:noHBand="0" w:noVBand="1" w:firstColumn="0" w:lastRow="0" w:lastColumn="0" w:firstRow="0"/>
      </w:tblPr>
      <w:tblGrid>
        <w:gridCol w:w="1412"/>
        <w:gridCol w:w="1804"/>
        <w:gridCol w:w="1889"/>
        <w:gridCol w:w="2686"/>
        <w:gridCol w:w="2410"/>
      </w:tblGrid>
      <w:tr>
        <w:trPr>
          <w:tblHeader w:val="true"/>
          <w:trHeight w:val="705" w:hRule="atLeast"/>
        </w:trPr>
        <w:tc>
          <w:tcPr>
            <w:tcW w:w="1412" w:type="dxa"/>
            <w:tcBorders>
              <w:top w:val="single" w:sz="4" w:space="0" w:color="000000"/>
              <w:left w:val="single" w:sz="4" w:space="0" w:color="000000"/>
              <w:bottom w:val="single" w:sz="4" w:space="0" w:color="000000"/>
              <w:right w:val="single" w:sz="4" w:space="0" w:color="000000"/>
            </w:tcBorders>
            <w:shd w:color="auto" w:fill="BDC0BF" w:val="clear"/>
          </w:tcPr>
          <w:p>
            <w:pPr>
              <w:pStyle w:val="Normal"/>
              <w:widowControl w:val="false"/>
              <w:spacing w:before="0" w:after="160"/>
              <w:ind w:firstLine="321"/>
              <w:rPr/>
            </w:pPr>
            <w:r>
              <w:rPr/>
            </w:r>
          </w:p>
        </w:tc>
        <w:tc>
          <w:tcPr>
            <w:tcW w:w="1804" w:type="dxa"/>
            <w:tcBorders>
              <w:top w:val="single" w:sz="4" w:space="0" w:color="000000"/>
              <w:left w:val="single" w:sz="4" w:space="0" w:color="000000"/>
              <w:bottom w:val="single" w:sz="4" w:space="0" w:color="000000"/>
              <w:right w:val="single" w:sz="4" w:space="0" w:color="000000"/>
            </w:tcBorders>
            <w:shd w:color="auto" w:fill="BDC0BF" w:val="clear"/>
            <w:tcMar>
              <w:top w:w="0" w:type="dxa"/>
              <w:left w:w="108" w:type="dxa"/>
              <w:bottom w:w="0" w:type="dxa"/>
              <w:right w:w="108" w:type="dxa"/>
            </w:tcMar>
          </w:tcPr>
          <w:p>
            <w:pPr>
              <w:pStyle w:val="Normal"/>
              <w:widowControl w:val="false"/>
              <w:spacing w:lineRule="auto" w:line="240" w:before="0" w:after="0"/>
              <w:ind w:firstLine="321"/>
              <w:rPr>
                <w:rFonts w:ascii="Helvetica Neue" w:hAnsi="Helvetica Neue" w:eastAsia="Helvetica Neue" w:cs="Helvetica Neue"/>
                <w:b/>
                <w:b/>
                <w:bCs/>
              </w:rPr>
            </w:pPr>
            <w:r>
              <w:rPr>
                <w:rFonts w:eastAsia="Helvetica Neue" w:cs="Helvetica Neue" w:ascii="Helvetica Neue" w:hAnsi="Helvetica Neue"/>
                <w:b/>
                <w:bCs/>
              </w:rPr>
              <w:t>Poor, unacceptable</w:t>
            </w:r>
          </w:p>
        </w:tc>
        <w:tc>
          <w:tcPr>
            <w:tcW w:w="1889" w:type="dxa"/>
            <w:tcBorders>
              <w:top w:val="single" w:sz="4" w:space="0" w:color="000000"/>
              <w:left w:val="single" w:sz="4" w:space="0" w:color="000000"/>
              <w:bottom w:val="single" w:sz="4" w:space="0" w:color="000000"/>
              <w:right w:val="single" w:sz="4" w:space="0" w:color="000000"/>
            </w:tcBorders>
            <w:shd w:color="auto" w:fill="BDC0BF" w:val="clear"/>
          </w:tcPr>
          <w:p>
            <w:pPr>
              <w:pStyle w:val="Normal"/>
              <w:widowControl w:val="false"/>
              <w:spacing w:lineRule="auto" w:line="240" w:before="0" w:after="0"/>
              <w:ind w:firstLine="321"/>
              <w:rPr>
                <w:rFonts w:ascii="Helvetica Neue" w:hAnsi="Helvetica Neue" w:eastAsia="Helvetica Neue" w:cs="Helvetica Neue"/>
                <w:b/>
                <w:b/>
                <w:bCs/>
              </w:rPr>
            </w:pPr>
            <w:r>
              <w:rPr>
                <w:rFonts w:eastAsia="Helvetica Neue" w:cs="Helvetica Neue" w:ascii="Helvetica Neue" w:hAnsi="Helvetica Neue"/>
                <w:b/>
                <w:bCs/>
              </w:rPr>
              <w:t>Acceptable, quite good</w:t>
            </w:r>
          </w:p>
        </w:tc>
        <w:tc>
          <w:tcPr>
            <w:tcW w:w="2686" w:type="dxa"/>
            <w:tcBorders>
              <w:top w:val="single" w:sz="4" w:space="0" w:color="000000"/>
              <w:left w:val="single" w:sz="4" w:space="0" w:color="000000"/>
              <w:bottom w:val="single" w:sz="4" w:space="0" w:color="000000"/>
              <w:right w:val="single" w:sz="4" w:space="0" w:color="000000"/>
            </w:tcBorders>
            <w:shd w:color="auto" w:fill="BDC0BF" w:val="clear"/>
          </w:tcPr>
          <w:p>
            <w:pPr>
              <w:pStyle w:val="Normal"/>
              <w:widowControl w:val="false"/>
              <w:spacing w:lineRule="auto" w:line="240" w:before="0" w:after="0"/>
              <w:ind w:firstLine="321"/>
              <w:rPr>
                <w:rFonts w:ascii="Helvetica Neue" w:hAnsi="Helvetica Neue" w:eastAsia="Helvetica Neue" w:cs="Helvetica Neue"/>
                <w:b/>
                <w:b/>
                <w:bCs/>
              </w:rPr>
            </w:pPr>
            <w:r>
              <w:rPr>
                <w:rFonts w:eastAsia="Helvetica Neue" w:cs="Helvetica Neue" w:ascii="Helvetica Neue" w:hAnsi="Helvetica Neue"/>
                <w:b/>
                <w:bCs/>
              </w:rPr>
              <w:t xml:space="preserve">Good, </w:t>
            </w:r>
            <w:r>
              <w:rPr>
                <w:rFonts w:eastAsia="Helvetica Neue" w:cs="Helvetica Neue" w:ascii="Helvetica Neue" w:hAnsi="Helvetica Neue"/>
                <w:b/>
                <w:bCs/>
                <w:i/>
                <w:iCs/>
              </w:rPr>
              <w:t>very good</w:t>
            </w:r>
            <w:r>
              <w:rPr>
                <w:rFonts w:eastAsia="Helvetica Neue" w:cs="Helvetica Neue" w:ascii="Helvetica Neue" w:hAnsi="Helvetica Neue"/>
                <w:b/>
                <w:bCs/>
              </w:rPr>
              <w:t xml:space="preserve"> </w:t>
              <w:br/>
            </w:r>
            <w:r>
              <w:rPr>
                <w:rFonts w:eastAsia="Helvetica Neue" w:cs="Helvetica Neue" w:ascii="Helvetica Neue" w:hAnsi="Helvetica Neue"/>
                <w:b/>
                <w:bCs/>
                <w:i/>
                <w:iCs/>
              </w:rPr>
              <w:t>indicated by [ ]</w:t>
            </w:r>
          </w:p>
        </w:tc>
        <w:tc>
          <w:tcPr>
            <w:tcW w:w="2410" w:type="dxa"/>
            <w:tcBorders>
              <w:top w:val="single" w:sz="4" w:space="0" w:color="000000"/>
              <w:left w:val="single" w:sz="4" w:space="0" w:color="000000"/>
              <w:bottom w:val="single" w:sz="4" w:space="0" w:color="000000"/>
              <w:right w:val="single" w:sz="4" w:space="0" w:color="000000"/>
            </w:tcBorders>
            <w:shd w:color="auto" w:fill="BDC0BF" w:val="clear"/>
          </w:tcPr>
          <w:p>
            <w:pPr>
              <w:pStyle w:val="Normal"/>
              <w:widowControl w:val="false"/>
              <w:spacing w:lineRule="auto" w:line="240" w:before="0" w:after="0"/>
              <w:ind w:firstLine="321"/>
              <w:rPr>
                <w:rFonts w:ascii="Helvetica Neue" w:hAnsi="Helvetica Neue" w:eastAsia="Helvetica Neue" w:cs="Helvetica Neue"/>
                <w:b/>
                <w:b/>
                <w:bCs/>
              </w:rPr>
            </w:pPr>
            <w:r>
              <w:rPr>
                <w:rFonts w:eastAsia="Helvetica Neue" w:cs="Helvetica Neue" w:ascii="Helvetica Neue" w:hAnsi="Helvetica Neue"/>
                <w:b/>
                <w:bCs/>
              </w:rPr>
              <w:t>Exceptional</w:t>
            </w:r>
          </w:p>
        </w:tc>
      </w:tr>
      <w:tr>
        <w:trPr>
          <w:trHeight w:val="1528" w:hRule="atLeast"/>
        </w:trPr>
        <w:tc>
          <w:tcPr>
            <w:tcW w:w="1412" w:type="dxa"/>
            <w:tcBorders>
              <w:top w:val="single" w:sz="4" w:space="0" w:color="000000"/>
              <w:left w:val="single" w:sz="4" w:space="0" w:color="000000"/>
              <w:bottom w:val="single" w:sz="4" w:space="0" w:color="000000"/>
              <w:right w:val="single" w:sz="4" w:space="0" w:color="000000"/>
            </w:tcBorders>
            <w:shd w:color="auto" w:fill="E2E4E3" w:val="clear"/>
          </w:tcPr>
          <w:p>
            <w:pPr>
              <w:pStyle w:val="Normal"/>
              <w:widowControl w:val="false"/>
              <w:spacing w:lineRule="auto" w:line="240" w:before="0" w:after="0"/>
              <w:rPr>
                <w:rFonts w:ascii="Helvetica Neue" w:hAnsi="Helvetica Neue" w:eastAsia="Helvetica Neue" w:cs="Helvetica Neue"/>
                <w:b/>
                <w:b/>
                <w:bCs/>
              </w:rPr>
            </w:pPr>
            <w:r>
              <w:rPr>
                <w:rFonts w:eastAsia="Helvetica Neue" w:cs="Helvetica Neue" w:ascii="Helvetica Neue" w:hAnsi="Helvetica Neue"/>
                <w:b/>
                <w:bCs/>
              </w:rPr>
              <w:t>Demonstrate the use of key statistical concepts.</w:t>
            </w:r>
          </w:p>
          <w:p>
            <w:pPr>
              <w:pStyle w:val="Normal"/>
              <w:widowControl w:val="false"/>
              <w:spacing w:lineRule="auto" w:line="240" w:before="0" w:after="0"/>
              <w:ind w:firstLine="321"/>
              <w:rPr>
                <w:rFonts w:ascii="Helvetica Neue" w:hAnsi="Helvetica Neue" w:eastAsia="Helvetica Neue" w:cs="Helvetica Neue"/>
                <w:b/>
                <w:b/>
                <w:bCs/>
              </w:rPr>
            </w:pPr>
            <w:r>
              <w:rPr>
                <w:rFonts w:eastAsia="Helvetica Neue" w:cs="Helvetica Neue" w:ascii="Helvetica Neue" w:hAnsi="Helvetica Neue"/>
                <w:b/>
                <w:bCs/>
              </w:rPr>
              <w:t>(30%)</w:t>
            </w:r>
          </w:p>
        </w:tc>
        <w:tc>
          <w:tcPr>
            <w:tcW w:w="1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40" w:before="0" w:after="0"/>
              <w:ind w:firstLine="321"/>
              <w:rPr/>
            </w:pPr>
            <w:r>
              <w:rPr>
                <w:rFonts w:eastAsia="Helvetica Neue" w:cs="Helvetica Neue" w:ascii="Helvetica Neue" w:hAnsi="Helvetica Neue"/>
              </w:rPr>
              <w:t>Very limited (one or two) basic techniques shown.</w:t>
            </w:r>
          </w:p>
          <w:p>
            <w:pPr>
              <w:pStyle w:val="Normal"/>
              <w:widowControl w:val="false"/>
              <w:spacing w:lineRule="auto" w:line="240" w:before="0" w:after="0"/>
              <w:ind w:firstLine="321"/>
              <w:rPr/>
            </w:pPr>
            <w:r>
              <w:rPr/>
            </w:r>
          </w:p>
          <w:p>
            <w:pPr>
              <w:pStyle w:val="Normal"/>
              <w:widowControl w:val="false"/>
              <w:spacing w:lineRule="auto" w:line="240" w:before="0" w:after="0"/>
              <w:ind w:firstLine="321"/>
              <w:rPr/>
            </w:pPr>
            <w:r>
              <w:rPr/>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t>(0-14)</w:t>
            </w:r>
          </w:p>
        </w:tc>
        <w:tc>
          <w:tcPr>
            <w:tcW w:w="188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t xml:space="preserve">Correct use of </w:t>
            </w:r>
            <w:r>
              <w:rPr>
                <w:rFonts w:eastAsia="Helvetica Neue" w:cs="Helvetica Neue" w:ascii="Helvetica Neue" w:hAnsi="Helvetica Neue"/>
                <w:i/>
                <w:iCs/>
              </w:rPr>
              <w:t>some</w:t>
            </w:r>
            <w:r>
              <w:rPr>
                <w:rFonts w:eastAsia="Helvetica Neue" w:cs="Helvetica Neue" w:ascii="Helvetica Neue" w:hAnsi="Helvetica Neue"/>
              </w:rPr>
              <w:t xml:space="preserve"> of the techniques and concepts, tending towards a more basic selection.</w:t>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t>(15-17)</w:t>
            </w:r>
          </w:p>
        </w:tc>
        <w:tc>
          <w:tcPr>
            <w:tcW w:w="26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t xml:space="preserve">A good range of techniques with </w:t>
            </w:r>
            <w:r>
              <w:rPr>
                <w:rFonts w:eastAsia="Helvetica Neue" w:cs="Helvetica Neue" w:ascii="Helvetica Neue" w:hAnsi="Helvetica Neue"/>
                <w:i/>
                <w:iCs/>
              </w:rPr>
              <w:t>[all]</w:t>
            </w:r>
            <w:r>
              <w:rPr>
                <w:rFonts w:eastAsia="Helvetica Neue" w:cs="Helvetica Neue" w:ascii="Helvetica Neue" w:hAnsi="Helvetica Neue"/>
              </w:rPr>
              <w:t xml:space="preserve"> hypotheses correctly stated.</w:t>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t>(18-23)</w:t>
            </w:r>
          </w:p>
        </w:tc>
        <w:tc>
          <w:tcPr>
            <w:tcW w:w="24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t>Range includes advanced techniques, or a more advanced concept is tackled.</w:t>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t>(24-30)</w:t>
            </w:r>
          </w:p>
        </w:tc>
      </w:tr>
      <w:tr>
        <w:trPr>
          <w:trHeight w:val="2238" w:hRule="atLeast"/>
        </w:trPr>
        <w:tc>
          <w:tcPr>
            <w:tcW w:w="1412" w:type="dxa"/>
            <w:tcBorders>
              <w:top w:val="single" w:sz="4" w:space="0" w:color="000000"/>
              <w:left w:val="single" w:sz="4" w:space="0" w:color="000000"/>
              <w:bottom w:val="single" w:sz="4" w:space="0" w:color="000000"/>
              <w:right w:val="single" w:sz="4" w:space="0" w:color="000000"/>
            </w:tcBorders>
            <w:shd w:color="auto" w:fill="E2E4E3" w:val="clear"/>
          </w:tcPr>
          <w:p>
            <w:pPr>
              <w:pStyle w:val="Normal"/>
              <w:widowControl w:val="false"/>
              <w:spacing w:lineRule="auto" w:line="240" w:before="0" w:after="0"/>
              <w:ind w:firstLine="321"/>
              <w:rPr>
                <w:rFonts w:ascii="Helvetica Neue" w:hAnsi="Helvetica Neue" w:eastAsia="Helvetica Neue" w:cs="Helvetica Neue"/>
                <w:b/>
                <w:b/>
                <w:bCs/>
              </w:rPr>
            </w:pPr>
            <w:r>
              <w:rPr>
                <w:rFonts w:eastAsia="Helvetica Neue" w:cs="Helvetica Neue" w:ascii="Helvetica Neue" w:hAnsi="Helvetica Neue"/>
                <w:b/>
                <w:bCs/>
              </w:rPr>
              <w:t>Show ability to obtain and evaluate solutions.</w:t>
            </w:r>
          </w:p>
          <w:p>
            <w:pPr>
              <w:pStyle w:val="Normal"/>
              <w:widowControl w:val="false"/>
              <w:spacing w:lineRule="auto" w:line="240" w:before="0" w:after="0"/>
              <w:ind w:firstLine="321"/>
              <w:rPr>
                <w:rFonts w:ascii="Helvetica Neue" w:hAnsi="Helvetica Neue" w:eastAsia="Helvetica Neue" w:cs="Helvetica Neue"/>
                <w:b/>
                <w:b/>
                <w:bCs/>
              </w:rPr>
            </w:pPr>
            <w:r>
              <w:rPr>
                <w:rFonts w:eastAsia="Helvetica Neue" w:cs="Helvetica Neue" w:ascii="Helvetica Neue" w:hAnsi="Helvetica Neue"/>
                <w:b/>
                <w:bCs/>
              </w:rPr>
              <w:t>(30%)</w:t>
            </w:r>
          </w:p>
        </w:tc>
        <w:tc>
          <w:tcPr>
            <w:tcW w:w="1804" w:type="dxa"/>
            <w:tcBorders>
              <w:top w:val="single" w:sz="4" w:space="0" w:color="000000"/>
              <w:left w:val="single" w:sz="4" w:space="0" w:color="000000"/>
              <w:bottom w:val="single" w:sz="4" w:space="0" w:color="000000"/>
              <w:right w:val="single" w:sz="4" w:space="0" w:color="000000"/>
            </w:tcBorders>
            <w:shd w:color="auto" w:fill="EEEEEE" w:val="clear"/>
            <w:tcMar>
              <w:top w:w="0" w:type="dxa"/>
              <w:left w:w="108" w:type="dxa"/>
              <w:bottom w:w="0" w:type="dxa"/>
              <w:right w:w="108" w:type="dxa"/>
            </w:tcMar>
          </w:tcPr>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t>No correct work, no evaluation e.g. stating a statistical result (figure) without attaching any meaning.</w:t>
            </w:r>
          </w:p>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r>
          </w:p>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t>(0-14)</w:t>
            </w:r>
          </w:p>
        </w:tc>
        <w:tc>
          <w:tcPr>
            <w:tcW w:w="1889" w:type="dxa"/>
            <w:tcBorders>
              <w:top w:val="single" w:sz="4" w:space="0" w:color="000000"/>
              <w:left w:val="single" w:sz="4" w:space="0" w:color="000000"/>
              <w:bottom w:val="single" w:sz="4" w:space="0" w:color="000000"/>
              <w:right w:val="single" w:sz="4" w:space="0" w:color="000000"/>
            </w:tcBorders>
            <w:shd w:color="auto" w:fill="EEEEEE" w:val="clear"/>
          </w:tcPr>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t>Some problems with the questions posed or solutions obtained although some correct work is contained.</w:t>
            </w:r>
          </w:p>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r>
          </w:p>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t>(15-17)</w:t>
            </w:r>
          </w:p>
        </w:tc>
        <w:tc>
          <w:tcPr>
            <w:tcW w:w="2686" w:type="dxa"/>
            <w:tcBorders>
              <w:top w:val="single" w:sz="4" w:space="0" w:color="000000"/>
              <w:left w:val="single" w:sz="4" w:space="0" w:color="000000"/>
              <w:bottom w:val="single" w:sz="4" w:space="0" w:color="000000"/>
              <w:right w:val="single" w:sz="4" w:space="0" w:color="000000"/>
            </w:tcBorders>
            <w:shd w:color="auto" w:fill="EEEEEE" w:val="clear"/>
          </w:tcPr>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t>Numerically correct solutions to</w:t>
            </w:r>
            <w:r>
              <w:rPr>
                <w:rFonts w:eastAsia="Helvetica Neue" w:cs="Helvetica Neue" w:ascii="Helvetica Neue" w:hAnsi="Helvetica Neue"/>
                <w:i/>
                <w:iCs/>
              </w:rPr>
              <w:t xml:space="preserve"> [more complex]</w:t>
            </w:r>
            <w:r>
              <w:rPr>
                <w:rFonts w:eastAsia="Helvetica Neue" w:cs="Helvetica Neue" w:ascii="Helvetica Neue" w:hAnsi="Helvetica Neue"/>
              </w:rPr>
              <w:t xml:space="preserve"> problems with correct conclusions regarding the hypothesis. </w:t>
            </w:r>
          </w:p>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t>(18-23)</w:t>
            </w:r>
          </w:p>
        </w:tc>
        <w:tc>
          <w:tcPr>
            <w:tcW w:w="2410" w:type="dxa"/>
            <w:tcBorders>
              <w:top w:val="single" w:sz="4" w:space="0" w:color="000000"/>
              <w:left w:val="single" w:sz="4" w:space="0" w:color="000000"/>
              <w:bottom w:val="single" w:sz="4" w:space="0" w:color="000000"/>
              <w:right w:val="single" w:sz="4" w:space="0" w:color="000000"/>
            </w:tcBorders>
            <w:shd w:color="auto" w:fill="EEEEEE" w:val="clear"/>
          </w:tcPr>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t>Very good/exceptional in one of two ways:</w:t>
            </w:r>
          </w:p>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t>Evaluation: relating the hypothesis back to the data.</w:t>
            </w:r>
          </w:p>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t>Difficulty: e.g., dealing with missing data or non-linear aspects</w:t>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t>(24-30)</w:t>
            </w:r>
          </w:p>
        </w:tc>
      </w:tr>
      <w:tr>
        <w:trPr>
          <w:trHeight w:val="1853" w:hRule="atLeast"/>
        </w:trPr>
        <w:tc>
          <w:tcPr>
            <w:tcW w:w="1412" w:type="dxa"/>
            <w:tcBorders>
              <w:top w:val="single" w:sz="4" w:space="0" w:color="000000"/>
              <w:left w:val="single" w:sz="4" w:space="0" w:color="000000"/>
              <w:bottom w:val="single" w:sz="4" w:space="0" w:color="000000"/>
              <w:right w:val="single" w:sz="4" w:space="0" w:color="000000"/>
            </w:tcBorders>
            <w:shd w:color="auto" w:fill="E2E4E3" w:val="clear"/>
          </w:tcPr>
          <w:p>
            <w:pPr>
              <w:pStyle w:val="Normal"/>
              <w:widowControl w:val="false"/>
              <w:spacing w:lineRule="auto" w:line="240" w:before="0" w:after="0"/>
              <w:ind w:firstLine="321"/>
              <w:rPr>
                <w:rFonts w:ascii="Helvetica Neue" w:hAnsi="Helvetica Neue" w:eastAsia="Helvetica Neue" w:cs="Helvetica Neue"/>
                <w:b/>
                <w:b/>
                <w:bCs/>
              </w:rPr>
            </w:pPr>
            <w:r>
              <w:rPr>
                <w:rFonts w:eastAsia="Helvetica Neue" w:cs="Helvetica Neue" w:ascii="Helvetica Neue" w:hAnsi="Helvetica Neue"/>
                <w:b/>
                <w:bCs/>
              </w:rPr>
              <w:t>Justify the choice and any assumptions.</w:t>
            </w:r>
          </w:p>
          <w:p>
            <w:pPr>
              <w:pStyle w:val="Normal"/>
              <w:widowControl w:val="false"/>
              <w:spacing w:lineRule="auto" w:line="240" w:before="0" w:after="0"/>
              <w:ind w:firstLine="321"/>
              <w:rPr>
                <w:rFonts w:ascii="Helvetica Neue" w:hAnsi="Helvetica Neue" w:eastAsia="Helvetica Neue" w:cs="Helvetica Neue"/>
                <w:b/>
                <w:b/>
                <w:bCs/>
              </w:rPr>
            </w:pPr>
            <w:r>
              <w:rPr>
                <w:rFonts w:eastAsia="Helvetica Neue" w:cs="Helvetica Neue" w:ascii="Helvetica Neue" w:hAnsi="Helvetica Neue"/>
                <w:b/>
                <w:bCs/>
              </w:rPr>
              <w:t>(25%)</w:t>
            </w:r>
          </w:p>
        </w:tc>
        <w:tc>
          <w:tcPr>
            <w:tcW w:w="1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t>Some awareness of the need for assumptions but nothing implemented, no justification made.</w:t>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t>(0-11)</w:t>
            </w:r>
          </w:p>
        </w:tc>
        <w:tc>
          <w:tcPr>
            <w:tcW w:w="188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t>Little or only superficial justifications given. Basic tests of assumptions.</w:t>
            </w:r>
          </w:p>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r>
          </w:p>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r>
          </w:p>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t>(12-14)</w:t>
            </w:r>
          </w:p>
        </w:tc>
        <w:tc>
          <w:tcPr>
            <w:tcW w:w="26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t>Relating choice to form or type of data. Checking some</w:t>
            </w:r>
            <w:r>
              <w:rPr>
                <w:rFonts w:eastAsia="Helvetica Neue" w:cs="Helvetica Neue" w:ascii="Helvetica Neue" w:hAnsi="Helvetica Neue"/>
                <w:i/>
                <w:iCs/>
              </w:rPr>
              <w:t xml:space="preserve"> [or most] </w:t>
            </w:r>
            <w:r>
              <w:rPr>
                <w:rFonts w:eastAsia="Helvetica Neue" w:cs="Helvetica Neue" w:ascii="Helvetica Neue" w:hAnsi="Helvetica Neue"/>
              </w:rPr>
              <w:t xml:space="preserve">of the relevant assumptions </w:t>
            </w:r>
            <w:r>
              <w:rPr>
                <w:rFonts w:eastAsia="Helvetica Neue" w:cs="Helvetica Neue" w:ascii="Helvetica Neue" w:hAnsi="Helvetica Neue"/>
                <w:i/>
                <w:iCs/>
              </w:rPr>
              <w:t>e.g.,</w:t>
            </w:r>
            <w:r>
              <w:rPr>
                <w:rFonts w:eastAsia="Helvetica Neue" w:cs="Helvetica Neue" w:ascii="Helvetica Neue" w:hAnsi="Helvetica Neue"/>
              </w:rPr>
              <w:t xml:space="preserve"> on normality</w:t>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t>(15-19)</w:t>
            </w:r>
          </w:p>
        </w:tc>
        <w:tc>
          <w:tcPr>
            <w:tcW w:w="24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t>In depth checks on assumptions and consequences of what is found (or not). Justifying any choices between valid techniques.</w:t>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t>(20-25)</w:t>
            </w:r>
          </w:p>
        </w:tc>
      </w:tr>
      <w:tr>
        <w:trPr>
          <w:trHeight w:val="2299" w:hRule="atLeast"/>
        </w:trPr>
        <w:tc>
          <w:tcPr>
            <w:tcW w:w="1412" w:type="dxa"/>
            <w:tcBorders>
              <w:top w:val="single" w:sz="4" w:space="0" w:color="000000"/>
              <w:left w:val="single" w:sz="4" w:space="0" w:color="000000"/>
              <w:bottom w:val="single" w:sz="4" w:space="0" w:color="000000"/>
              <w:right w:val="single" w:sz="4" w:space="0" w:color="000000"/>
            </w:tcBorders>
            <w:shd w:color="auto" w:fill="E2E4E3" w:val="clear"/>
          </w:tcPr>
          <w:p>
            <w:pPr>
              <w:pStyle w:val="Normal"/>
              <w:widowControl w:val="false"/>
              <w:spacing w:lineRule="auto" w:line="240" w:before="0" w:after="0"/>
              <w:ind w:firstLine="321"/>
              <w:rPr>
                <w:rFonts w:ascii="Helvetica Neue" w:hAnsi="Helvetica Neue" w:eastAsia="Helvetica Neue" w:cs="Helvetica Neue"/>
                <w:b/>
                <w:b/>
                <w:bCs/>
              </w:rPr>
            </w:pPr>
            <w:r>
              <w:rPr>
                <w:rFonts w:eastAsia="Helvetica Neue" w:cs="Helvetica Neue" w:ascii="Helvetica Neue" w:hAnsi="Helvetica Neue"/>
                <w:b/>
                <w:bCs/>
              </w:rPr>
              <w:t>Present work and ideas clearly.</w:t>
            </w:r>
          </w:p>
          <w:p>
            <w:pPr>
              <w:pStyle w:val="Normal"/>
              <w:widowControl w:val="false"/>
              <w:spacing w:lineRule="auto" w:line="240" w:before="0" w:after="0"/>
              <w:ind w:firstLine="321"/>
              <w:rPr>
                <w:rFonts w:ascii="Helvetica Neue" w:hAnsi="Helvetica Neue" w:eastAsia="Helvetica Neue" w:cs="Helvetica Neue"/>
                <w:b/>
                <w:b/>
                <w:bCs/>
              </w:rPr>
            </w:pPr>
            <w:r>
              <w:rPr>
                <w:rFonts w:eastAsia="Helvetica Neue" w:cs="Helvetica Neue" w:ascii="Helvetica Neue" w:hAnsi="Helvetica Neue"/>
                <w:b/>
                <w:bCs/>
              </w:rPr>
              <w:t>(15%)</w:t>
            </w:r>
          </w:p>
        </w:tc>
        <w:tc>
          <w:tcPr>
            <w:tcW w:w="1804" w:type="dxa"/>
            <w:tcBorders>
              <w:top w:val="single" w:sz="4" w:space="0" w:color="000000"/>
              <w:left w:val="single" w:sz="4" w:space="0" w:color="000000"/>
              <w:bottom w:val="single" w:sz="4" w:space="0" w:color="000000"/>
              <w:right w:val="single" w:sz="4" w:space="0" w:color="000000"/>
            </w:tcBorders>
            <w:shd w:color="auto" w:fill="EEEEEE" w:val="clear"/>
            <w:tcMar>
              <w:top w:w="0" w:type="dxa"/>
              <w:left w:w="108" w:type="dxa"/>
              <w:bottom w:w="0" w:type="dxa"/>
              <w:right w:w="108" w:type="dxa"/>
            </w:tcMar>
          </w:tcPr>
          <w:p>
            <w:pPr>
              <w:pStyle w:val="Normal"/>
              <w:widowControl w:val="false"/>
              <w:spacing w:lineRule="auto" w:line="240" w:before="0" w:after="0"/>
              <w:ind w:firstLine="321"/>
              <w:rPr>
                <w:i/>
                <w:i/>
                <w:iCs/>
              </w:rPr>
            </w:pPr>
            <w:r>
              <w:rPr>
                <w:rFonts w:eastAsia="Helvetica Neue" w:cs="Helvetica Neue" w:ascii="Helvetica Neue" w:hAnsi="Helvetica Neue"/>
              </w:rPr>
              <w:t xml:space="preserve">Information is missing or much too brief. </w:t>
            </w:r>
            <w:r>
              <w:rPr>
                <w:rFonts w:eastAsia="Helvetica Neue" w:cs="Helvetica Neue" w:ascii="Helvetica Neue" w:hAnsi="Helvetica Neue"/>
                <w:i/>
                <w:iCs/>
              </w:rPr>
              <w:t>Or</w:t>
            </w:r>
          </w:p>
          <w:p>
            <w:pPr>
              <w:pStyle w:val="Normal"/>
              <w:widowControl w:val="false"/>
              <w:spacing w:lineRule="auto" w:line="240" w:before="0" w:after="0"/>
              <w:rPr>
                <w:rFonts w:ascii="Helvetica Neue" w:hAnsi="Helvetica Neue" w:eastAsia="Helvetica Neue" w:cs="Helvetica Neue"/>
              </w:rPr>
            </w:pPr>
            <w:r>
              <w:rPr>
                <w:i/>
                <w:iCs/>
              </w:rPr>
              <w:t xml:space="preserve"> </w:t>
            </w:r>
            <w:r>
              <w:rPr>
                <w:rFonts w:eastAsia="Helvetica Neue" w:cs="Helvetica Neue" w:ascii="Helvetica Neue" w:hAnsi="Helvetica Neue"/>
              </w:rPr>
              <w:t>Work is confused with several conflicting instances.</w:t>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t>(0-6)</w:t>
            </w:r>
          </w:p>
        </w:tc>
        <w:tc>
          <w:tcPr>
            <w:tcW w:w="1889" w:type="dxa"/>
            <w:tcBorders>
              <w:top w:val="single" w:sz="4" w:space="0" w:color="000000"/>
              <w:left w:val="single" w:sz="4" w:space="0" w:color="000000"/>
              <w:bottom w:val="single" w:sz="4" w:space="0" w:color="000000"/>
              <w:right w:val="single" w:sz="4" w:space="0" w:color="000000"/>
            </w:tcBorders>
            <w:shd w:color="auto" w:fill="EEEEEE" w:val="clear"/>
          </w:tcPr>
          <w:p>
            <w:pPr>
              <w:pStyle w:val="Normal"/>
              <w:widowControl w:val="false"/>
              <w:spacing w:lineRule="auto" w:line="240" w:before="0" w:after="0"/>
              <w:rPr>
                <w:rFonts w:ascii="Helvetica Neue" w:hAnsi="Helvetica Neue" w:eastAsia="Helvetica Neue" w:cs="Helvetica Neue"/>
              </w:rPr>
            </w:pPr>
            <w:r>
              <w:rPr>
                <w:rFonts w:eastAsia="Helvetica Neue" w:cs="Helvetica Neue" w:ascii="Helvetica Neue" w:hAnsi="Helvetica Neue"/>
              </w:rPr>
              <w:t xml:space="preserve">Some supporting information is provided </w:t>
            </w:r>
            <w:r>
              <w:rPr>
                <w:rFonts w:eastAsia="Helvetica Neue" w:cs="Helvetica Neue" w:ascii="Helvetica Neue" w:hAnsi="Helvetica Neue"/>
                <w:i/>
                <w:iCs/>
              </w:rPr>
              <w:t>or</w:t>
            </w:r>
            <w:r>
              <w:rPr>
                <w:rFonts w:eastAsia="Helvetica Neue" w:cs="Helvetica Neue" w:ascii="Helvetica Neue" w:hAnsi="Helvetica Neue"/>
              </w:rPr>
              <w:t xml:space="preserve"> there is more information, but it is occasionally confusing or conflicting.</w:t>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t>(7-8)</w:t>
            </w:r>
          </w:p>
        </w:tc>
        <w:tc>
          <w:tcPr>
            <w:tcW w:w="2686" w:type="dxa"/>
            <w:tcBorders>
              <w:top w:val="single" w:sz="4" w:space="0" w:color="000000"/>
              <w:left w:val="single" w:sz="4" w:space="0" w:color="000000"/>
              <w:bottom w:val="single" w:sz="4" w:space="0" w:color="000000"/>
              <w:right w:val="single" w:sz="4" w:space="0" w:color="000000"/>
            </w:tcBorders>
            <w:shd w:color="auto" w:fill="EEEEEE" w:val="clear"/>
          </w:tcPr>
          <w:p>
            <w:pPr>
              <w:pStyle w:val="Normal"/>
              <w:widowControl w:val="false"/>
              <w:spacing w:lineRule="auto" w:line="240" w:before="0" w:after="0"/>
              <w:rPr>
                <w:rFonts w:ascii="Helvetica Neue" w:hAnsi="Helvetica Neue" w:eastAsia="Helvetica Neue" w:cs="Helvetica Neue"/>
              </w:rPr>
            </w:pPr>
            <w:r>
              <w:rPr>
                <w:rFonts w:eastAsia="Helvetica Neue" w:cs="Helvetica Neue" w:ascii="Helvetica Neue" w:hAnsi="Helvetica Neue"/>
              </w:rPr>
              <w:t xml:space="preserve">Good standard, few </w:t>
            </w:r>
            <w:r>
              <w:rPr>
                <w:rFonts w:eastAsia="Helvetica Neue" w:cs="Helvetica Neue" w:ascii="Helvetica Neue" w:hAnsi="Helvetica Neue"/>
                <w:i/>
                <w:iCs/>
              </w:rPr>
              <w:t xml:space="preserve">[or no] </w:t>
            </w:r>
            <w:r>
              <w:rPr>
                <w:rFonts w:eastAsia="Helvetica Neue" w:cs="Helvetica Neue" w:ascii="Helvetica Neue" w:hAnsi="Helvetica Neue"/>
              </w:rPr>
              <w:t>issues with things missing or unclear.</w:t>
            </w:r>
          </w:p>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r>
          </w:p>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t>(9-11)</w:t>
            </w:r>
          </w:p>
        </w:tc>
        <w:tc>
          <w:tcPr>
            <w:tcW w:w="2410" w:type="dxa"/>
            <w:tcBorders>
              <w:top w:val="single" w:sz="4" w:space="0" w:color="000000"/>
              <w:left w:val="single" w:sz="4" w:space="0" w:color="000000"/>
              <w:bottom w:val="single" w:sz="4" w:space="0" w:color="000000"/>
              <w:right w:val="single" w:sz="4" w:space="0" w:color="000000"/>
            </w:tcBorders>
            <w:shd w:color="auto" w:fill="EEEEEE" w:val="clear"/>
          </w:tcPr>
          <w:p>
            <w:pPr>
              <w:pStyle w:val="Normal"/>
              <w:widowControl w:val="false"/>
              <w:spacing w:lineRule="auto" w:line="240" w:before="0" w:after="0"/>
              <w:rPr>
                <w:rFonts w:ascii="Helvetica Neue" w:hAnsi="Helvetica Neue" w:eastAsia="Helvetica Neue" w:cs="Helvetica Neue"/>
              </w:rPr>
            </w:pPr>
            <w:r>
              <w:rPr>
                <w:rFonts w:eastAsia="Helvetica Neue" w:cs="Helvetica Neue" w:ascii="Helvetica Neue" w:hAnsi="Helvetica Neue"/>
              </w:rPr>
              <w:t>Exceptional clarity of ideas, report of very good quality for figures, text and code.</w:t>
            </w:r>
          </w:p>
          <w:p>
            <w:pPr>
              <w:pStyle w:val="Normal"/>
              <w:widowControl w:val="false"/>
              <w:spacing w:lineRule="auto" w:line="240" w:before="0" w:after="0"/>
              <w:ind w:firstLine="321"/>
              <w:rPr>
                <w:rFonts w:ascii="Helvetica Neue" w:hAnsi="Helvetica Neue" w:eastAsia="Helvetica Neue" w:cs="Helvetica Neue"/>
              </w:rPr>
            </w:pPr>
            <w:r>
              <w:rPr>
                <w:rFonts w:eastAsia="Helvetica Neue" w:cs="Helvetica Neue" w:ascii="Helvetica Neue" w:hAnsi="Helvetica Neue"/>
              </w:rPr>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r>
          </w:p>
          <w:p>
            <w:pPr>
              <w:pStyle w:val="Normal"/>
              <w:widowControl w:val="false"/>
              <w:spacing w:lineRule="auto" w:line="240" w:before="0" w:after="0"/>
              <w:ind w:firstLine="321"/>
              <w:jc w:val="right"/>
              <w:rPr>
                <w:rFonts w:ascii="Helvetica Neue" w:hAnsi="Helvetica Neue" w:eastAsia="Helvetica Neue" w:cs="Helvetica Neue"/>
              </w:rPr>
            </w:pPr>
            <w:r>
              <w:rPr>
                <w:rFonts w:eastAsia="Helvetica Neue" w:cs="Helvetica Neue" w:ascii="Helvetica Neue" w:hAnsi="Helvetica Neue"/>
              </w:rPr>
              <w:t>(12-15)</w:t>
            </w:r>
          </w:p>
        </w:tc>
      </w:tr>
    </w:tbl>
    <w:p>
      <w:pPr>
        <w:pStyle w:val="Normal"/>
        <w:rPr/>
      </w:pPr>
      <w:r>
        <w:rPr/>
      </w:r>
    </w:p>
    <w:p>
      <w:pPr>
        <w:pStyle w:val="Normal"/>
        <w:rPr/>
      </w:pPr>
      <w:r>
        <w:rPr/>
        <w:t>The first column shows the assessment criteria and the relative weighting. The four columns show the range of marks available for each category in which that criterion is assessed. There will be more discussion on this in the live sessions.</w:t>
      </w:r>
    </w:p>
    <w:p>
      <w:pPr>
        <w:pStyle w:val="Normal"/>
        <w:rPr>
          <w:color w:val="000000"/>
        </w:rPr>
      </w:pPr>
      <w:r>
        <w:rPr>
          <w:color w:val="000000"/>
        </w:rPr>
      </w:r>
    </w:p>
    <w:p>
      <w:pPr>
        <w:pStyle w:val="Heading1"/>
        <w:rPr/>
      </w:pPr>
      <w:bookmarkStart w:id="6" w:name="_heading=h.tyjcwt"/>
      <w:bookmarkEnd w:id="6"/>
      <w:r>
        <w:rPr/>
        <w:t>Anonymous Marking</w:t>
      </w:r>
    </w:p>
    <w:p>
      <w:pPr>
        <w:pStyle w:val="Normal"/>
        <w:rPr>
          <w:b/>
          <w:b/>
          <w:bCs/>
        </w:rPr>
      </w:pPr>
      <w:r>
        <w:rPr>
          <w:b/>
          <w:bCs/>
        </w:rPr>
        <w:t>Submissions in Blackboard</w:t>
      </w:r>
    </w:p>
    <w:p>
      <w:pPr>
        <w:pStyle w:val="Normal"/>
        <w:jc w:val="both"/>
        <w:rPr/>
      </w:pPr>
      <w:r>
        <w:rPr/>
        <w:t xml:space="preserve">You must submit your work using your </w:t>
      </w:r>
      <w:r>
        <w:rPr>
          <w:b/>
          <w:bCs/>
        </w:rPr>
        <w:t>student number</w:t>
      </w:r>
      <w:r>
        <w:rPr/>
        <w:t xml:space="preserve"> to identify yourself, not your name. You must not use your name in the text of the work at any point. When you submit your work in Blackboard you must submit your student number within the assignment document </w:t>
      </w:r>
      <w:r>
        <w:rPr>
          <w:u w:val="single"/>
        </w:rPr>
        <w:t>and</w:t>
      </w:r>
      <w:r>
        <w:rPr/>
        <w:t xml:space="preserve"> in the submission</w:t>
      </w:r>
      <w:r>
        <w:rPr>
          <w:i/>
          <w:iCs/>
        </w:rPr>
        <w:t xml:space="preserve"> </w:t>
      </w:r>
      <w:r>
        <w:rPr/>
        <w:t>field.</w:t>
      </w:r>
    </w:p>
    <w:p>
      <w:pPr>
        <w:pStyle w:val="Heading1"/>
        <w:rPr/>
      </w:pPr>
      <w:bookmarkStart w:id="7" w:name="_heading=h.3dy6vkm"/>
      <w:bookmarkEnd w:id="7"/>
      <w:r>
        <w:rPr/>
        <w:t>Assessment Regulations</w:t>
      </w:r>
    </w:p>
    <w:p>
      <w:pPr>
        <w:pStyle w:val="Normal"/>
        <w:rPr/>
      </w:pPr>
      <w:r>
        <w:rPr/>
        <w:t xml:space="preserve">The </w:t>
      </w:r>
      <w:hyperlink r:id="rId6">
        <w:r>
          <w:rPr>
            <w:color w:val="0563C1"/>
            <w:u w:val="single"/>
          </w:rPr>
          <w:t>University’s regulations, policies and procedures</w:t>
        </w:r>
      </w:hyperlink>
      <w:r>
        <w:rPr/>
        <w:t xml:space="preserve"> for students define the framework within which teaching, and assessment are conducted. Please make sure you are familiar with these regulations, policies, and procedures.</w:t>
      </w:r>
    </w:p>
    <w:p>
      <w:pPr>
        <w:pStyle w:val="Heading1"/>
        <w:rPr/>
      </w:pPr>
      <w:bookmarkStart w:id="8" w:name="_heading=h.1t3h5sf"/>
      <w:bookmarkEnd w:id="8"/>
      <w:r>
        <w:rPr/>
        <w:t>Formative Assessment</w:t>
      </w:r>
    </w:p>
    <w:p>
      <w:pPr>
        <w:pStyle w:val="Normal"/>
        <w:jc w:val="both"/>
        <w:rPr>
          <w:color w:val="000000"/>
        </w:rPr>
      </w:pPr>
      <w:r>
        <w:rPr>
          <w:color w:val="000000"/>
        </w:rPr>
        <w:t xml:space="preserve">During the semester there will be some formative assessment tasks - meaning no marks are awarded. These assist in the process of selecting your own datasets and formulating the right questions to ask. It is important to participate in these assessments and it should be noted that no extensions can be applied to these tasks since they will involve working together with students in small groups. The benefit is that you can align your work with others in the cohort, for example getting the right degree of difficulty or appropriate amount of work. </w:t>
      </w:r>
    </w:p>
    <w:p>
      <w:pPr>
        <w:pStyle w:val="Normal"/>
        <w:rPr>
          <w:b/>
          <w:b/>
          <w:bCs/>
          <w:color w:val="000000"/>
        </w:rPr>
      </w:pPr>
      <w:r>
        <w:rPr>
          <w:b/>
          <w:bCs/>
          <w:color w:val="000000"/>
        </w:rPr>
      </w:r>
    </w:p>
    <w:p>
      <w:pPr>
        <w:pStyle w:val="Normal"/>
        <w:spacing w:before="0" w:after="160"/>
        <w:rPr>
          <w:b/>
          <w:b/>
          <w:bCs/>
          <w:color w:val="000000"/>
        </w:rPr>
      </w:pPr>
      <w:r>
        <w:rPr/>
      </w:r>
    </w:p>
    <w:sectPr>
      <w:headerReference w:type="even" r:id="rId7"/>
      <w:headerReference w:type="default" r:id="rId8"/>
      <w:headerReference w:type="first" r:id="rId9"/>
      <w:footerReference w:type="even" r:id="rId10"/>
      <w:footerReference w:type="default" r:id="rId11"/>
      <w:footerReference w:type="first" r:id="rId12"/>
      <w:footnotePr>
        <w:numFmt w:val="decimal"/>
      </w:footnotePr>
      <w:type w:val="nextPage"/>
      <w:pgSz w:w="11906" w:h="16838"/>
      <w:pgMar w:left="1440" w:right="1440" w:gutter="0" w:header="0" w:top="1440" w:footer="708" w:bottom="1440"/>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libri Light">
    <w:charset w:val="01"/>
    <w:family w:val="roman"/>
    <w:pitch w:val="variable"/>
  </w:font>
  <w:font w:name="Segoe UI">
    <w:charset w:val="01"/>
    <w:family w:val="roman"/>
    <w:pitch w:val="variable"/>
    <w:embedRegular r:id="rId9" w:fontKey="{09014A78-CABC-4EF0-12AC-5CD89AEFDE09}"/>
  </w:font>
  <w:font w:name="Liberation Sans">
    <w:altName w:val="Arial"/>
    <w:charset w:val="01"/>
    <w:family w:val="swiss"/>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Times New Roman">
    <w:charset w:val="01"/>
    <w:family w:val="roman"/>
    <w:pitch w:val="variable"/>
  </w:font>
  <w:font w:name="Helvetica Neue">
    <w:charset w:val="01"/>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Georgia">
    <w:charset w:val="01"/>
    <w:family w:val="roman"/>
    <w:pitch w:val="variable"/>
    <w:embedItalic r:id="rId18" w:fontKey="{12014A78-CABC-4EF0-12AC-5CD89AEFDE1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center"/>
      <w:rPr>
        <w:color w:val="000000"/>
      </w:rPr>
    </w:pPr>
    <w:r>
      <w:rPr/>
      <w:fldChar w:fldCharType="begin"/>
    </w:r>
    <w:r>
      <w:rPr/>
      <w:instrText xml:space="preserve"> PAGE </w:instrText>
    </w:r>
    <w:r>
      <w:rPr/>
      <w:fldChar w:fldCharType="separate"/>
    </w:r>
    <w:r>
      <w:rPr/>
      <w:t>7</w:t>
    </w:r>
    <w:r>
      <w:rPr/>
      <w:fldChar w:fldCharType="end"/>
    </w:r>
  </w:p>
  <w:p>
    <w:pPr>
      <w:pStyle w:val="Normal"/>
      <w:pBdr/>
      <w:tabs>
        <w:tab w:val="clear" w:pos="720"/>
        <w:tab w:val="center" w:pos="4513" w:leader="none"/>
        <w:tab w:val="right" w:pos="9026" w:leader="none"/>
      </w:tabs>
      <w:spacing w:lineRule="auto" w:line="240" w:before="0" w:after="0"/>
      <w:rPr>
        <w:color w:val="000000"/>
      </w:rPr>
    </w:pPr>
    <w:r>
      <w:rPr>
        <w:color w:val="000000"/>
      </w:rPr>
      <mc:AlternateContent>
        <mc:Choice Requires="wps">
          <w:drawing>
            <wp:anchor behindDoc="1" distT="0" distB="0" distL="0" distR="0" simplePos="0" locked="0" layoutInCell="0" allowOverlap="1" relativeHeight="19" wp14:anchorId="3413E7BE">
              <wp:simplePos x="0" y="0"/>
              <wp:positionH relativeFrom="column">
                <wp:posOffset>-914400</wp:posOffset>
              </wp:positionH>
              <wp:positionV relativeFrom="paragraph">
                <wp:posOffset>10210800</wp:posOffset>
              </wp:positionV>
              <wp:extent cx="7579360" cy="285750"/>
              <wp:effectExtent l="0" t="0" r="0" b="0"/>
              <wp:wrapNone/>
              <wp:docPr id="3" name="Rectangle 15" descr="{&quot;HashCode&quot;:269818377,&quot;Height&quot;:841.0,&quot;Width&quot;:595.0,&quot;Placement&quot;:&quot;Footer&quot;,&quot;Index&quot;:&quot;Primary&quot;,&quot;Section&quot;:1,&quot;Top&quot;:0.0,&quot;Left&quot;:0.0}"/>
              <a:graphic xmlns:a="http://schemas.openxmlformats.org/drawingml/2006/main">
                <a:graphicData uri="http://schemas.microsoft.com/office/word/2010/wordprocessingShape">
                  <wps:wsp>
                    <wps:cNvSpPr/>
                    <wps:spPr>
                      <a:xfrm>
                        <a:off x="0" y="0"/>
                        <a:ext cx="7579440" cy="285840"/>
                      </a:xfrm>
                      <a:prstGeom prst="rect">
                        <a:avLst/>
                      </a:prstGeom>
                      <a:noFill/>
                      <a:ln w="0">
                        <a:noFill/>
                      </a:ln>
                    </wps:spPr>
                    <wps:style>
                      <a:lnRef idx="0"/>
                      <a:fillRef idx="0"/>
                      <a:effectRef idx="0"/>
                      <a:fontRef idx="minor"/>
                    </wps:style>
                    <wps:txbx>
                      <w:txbxContent>
                        <w:p>
                          <w:pPr>
                            <w:pStyle w:val="FrameContents"/>
                            <w:spacing w:lineRule="auto" w:line="256" w:before="0" w:after="0"/>
                            <w:rPr/>
                          </w:pPr>
                          <w:r>
                            <w:rPr>
                              <w:color w:val="000000"/>
                              <w:sz w:val="24"/>
                            </w:rPr>
                            <w:t>Sensitivity: Internal</w:t>
                          </w:r>
                        </w:p>
                      </w:txbxContent>
                    </wps:txbx>
                    <wps:bodyPr lIns="254160" tIns="0" bIns="0" anchor="b">
                      <a:noAutofit/>
                    </wps:bodyPr>
                  </wps:wsp>
                </a:graphicData>
              </a:graphic>
            </wp:anchor>
          </w:drawing>
        </mc:Choice>
        <mc:Fallback>
          <w:pict>
            <v:rect id="shape_0" ID="Rectangle 15" path="m0,0l-2147483645,0l-2147483645,-2147483646l0,-2147483646xe" stroked="f" o:allowincell="f" style="position:absolute;margin-left:-72pt;margin-top:804pt;width:596.75pt;height:22.45pt;mso-wrap-style:square;v-text-anchor:bottom" wp14:anchorId="3413E7BE">
              <v:fill o:detectmouseclick="t" on="false"/>
              <v:stroke color="#3465a4" joinstyle="round" endcap="flat"/>
              <v:textbox>
                <w:txbxContent>
                  <w:p>
                    <w:pPr>
                      <w:pStyle w:val="FrameContents"/>
                      <w:spacing w:lineRule="auto" w:line="256" w:before="0" w:after="0"/>
                      <w:rPr/>
                    </w:pPr>
                    <w:r>
                      <w:rPr>
                        <w:color w:val="000000"/>
                        <w:sz w:val="24"/>
                      </w:rPr>
                      <w:t>Sensitivity: Internal</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rPr>
        <w:color w:val="000000"/>
      </w:rPr>
    </w:pPr>
    <w:r>
      <w:rPr>
        <w:color w:val="000000"/>
      </w:rPr>
      <mc:AlternateContent>
        <mc:Choice Requires="wps">
          <w:drawing>
            <wp:anchor behindDoc="1" distT="0" distB="0" distL="0" distR="0" simplePos="0" locked="0" layoutInCell="0" allowOverlap="1" relativeHeight="21" wp14:anchorId="052CCB24">
              <wp:simplePos x="0" y="0"/>
              <wp:positionH relativeFrom="column">
                <wp:posOffset>-914400</wp:posOffset>
              </wp:positionH>
              <wp:positionV relativeFrom="paragraph">
                <wp:posOffset>10210800</wp:posOffset>
              </wp:positionV>
              <wp:extent cx="7579360" cy="285750"/>
              <wp:effectExtent l="0" t="0" r="0" b="0"/>
              <wp:wrapNone/>
              <wp:docPr id="5" name="Rectangle 14" descr="{&quot;HashCode&quot;:269818377,&quot;Height&quot;:841.0,&quot;Width&quot;:595.0,&quot;Placement&quot;:&quot;Footer&quot;,&quot;Index&quot;:&quot;FirstPage&quot;,&quot;Section&quot;:1,&quot;Top&quot;:0.0,&quot;Left&quot;:0.0}"/>
              <a:graphic xmlns:a="http://schemas.openxmlformats.org/drawingml/2006/main">
                <a:graphicData uri="http://schemas.microsoft.com/office/word/2010/wordprocessingShape">
                  <wps:wsp>
                    <wps:cNvSpPr/>
                    <wps:spPr>
                      <a:xfrm>
                        <a:off x="0" y="0"/>
                        <a:ext cx="7579440" cy="285840"/>
                      </a:xfrm>
                      <a:prstGeom prst="rect">
                        <a:avLst/>
                      </a:prstGeom>
                      <a:noFill/>
                      <a:ln w="0">
                        <a:noFill/>
                      </a:ln>
                    </wps:spPr>
                    <wps:style>
                      <a:lnRef idx="0"/>
                      <a:fillRef idx="0"/>
                      <a:effectRef idx="0"/>
                      <a:fontRef idx="minor"/>
                    </wps:style>
                    <wps:txbx>
                      <w:txbxContent>
                        <w:p>
                          <w:pPr>
                            <w:pStyle w:val="FrameContents"/>
                            <w:spacing w:lineRule="auto" w:line="256" w:before="0" w:after="0"/>
                            <w:rPr/>
                          </w:pPr>
                          <w:r>
                            <w:rPr>
                              <w:color w:val="000000"/>
                              <w:sz w:val="24"/>
                            </w:rPr>
                            <w:t>Sensitivity: Internal</w:t>
                          </w:r>
                        </w:p>
                      </w:txbxContent>
                    </wps:txbx>
                    <wps:bodyPr lIns="254160" tIns="0" bIns="0" anchor="b">
                      <a:noAutofit/>
                    </wps:bodyPr>
                  </wps:wsp>
                </a:graphicData>
              </a:graphic>
            </wp:anchor>
          </w:drawing>
        </mc:Choice>
        <mc:Fallback>
          <w:pict>
            <v:rect id="shape_0" ID="Rectangle 14" path="m0,0l-2147483645,0l-2147483645,-2147483646l0,-2147483646xe" stroked="f" o:allowincell="f" style="position:absolute;margin-left:-72pt;margin-top:804pt;width:596.75pt;height:22.45pt;mso-wrap-style:square;v-text-anchor:bottom" wp14:anchorId="052CCB24">
              <v:fill o:detectmouseclick="t" on="false"/>
              <v:stroke color="#3465a4" joinstyle="round" endcap="flat"/>
              <v:textbox>
                <w:txbxContent>
                  <w:p>
                    <w:pPr>
                      <w:pStyle w:val="FrameContents"/>
                      <w:spacing w:lineRule="auto" w:line="256" w:before="0" w:after="0"/>
                      <w:rPr/>
                    </w:pPr>
                    <w:r>
                      <w:rPr>
                        <w:color w:val="000000"/>
                        <w:sz w:val="24"/>
                      </w:rPr>
                      <w:t>Sensitivity: Internal</w:t>
                    </w:r>
                  </w:p>
                </w:txbxContent>
              </v:textbox>
              <w10:wrap type="non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pBdr/>
        <w:spacing w:lineRule="auto" w:line="240" w:before="0" w:after="0"/>
        <w:rPr>
          <w:color w:val="000000"/>
          <w:sz w:val="20"/>
          <w:szCs w:val="20"/>
        </w:rPr>
      </w:pPr>
      <w:r>
        <w:rPr>
          <w:rStyle w:val="FootnoteCharacters"/>
        </w:rPr>
        <w:footnoteRef/>
      </w:r>
      <w:r>
        <w:rPr>
          <w:color w:val="000000"/>
          <w:sz w:val="20"/>
          <w:szCs w:val="20"/>
        </w:rPr>
        <w:t xml:space="preserve"> </w:t>
      </w:r>
      <w:r>
        <w:rPr>
          <w:color w:val="000000"/>
          <w:sz w:val="20"/>
          <w:szCs w:val="20"/>
        </w:rPr>
        <w:t>This will be interpreted broadly to cover real-life examples from many fields of enquiry, not just engineering.</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rPr>
        <w:color w:val="000000"/>
      </w:rPr>
    </w:pPr>
    <w:r>
      <w:rPr>
        <w:color w:val="00000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ind w:left="-1418" w:hanging="0"/>
      <w:rPr>
        <w:color w:val="000000"/>
      </w:rPr>
    </w:pPr>
    <w:r>
      <w:rPr/>
      <w:drawing>
        <wp:inline distT="0" distB="0" distL="0" distR="0">
          <wp:extent cx="1860550" cy="1860550"/>
          <wp:effectExtent l="0" t="0" r="0" b="0"/>
          <wp:docPr id="2" name="image1.png" descr="University of Derb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University of Derby Logo"/>
                  <pic:cNvPicPr>
                    <a:picLocks noChangeAspect="1" noChangeArrowheads="1"/>
                  </pic:cNvPicPr>
                </pic:nvPicPr>
                <pic:blipFill>
                  <a:blip r:embed="rId1"/>
                  <a:stretch>
                    <a:fillRect/>
                  </a:stretch>
                </pic:blipFill>
                <pic:spPr bwMode="auto">
                  <a:xfrm>
                    <a:off x="0" y="0"/>
                    <a:ext cx="1860550" cy="18605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ind w:left="-567" w:hanging="0"/>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color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GB"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GB" w:eastAsia="en-GB" w:bidi="ar-SA"/>
    </w:rPr>
  </w:style>
  <w:style w:type="paragraph" w:styleId="Heading1">
    <w:name w:val="Heading 1"/>
    <w:basedOn w:val="Normal"/>
    <w:next w:val="Normal"/>
    <w:link w:val="Heading1Char"/>
    <w:uiPriority w:val="9"/>
    <w:qFormat/>
    <w:rsid w:val="0038690d"/>
    <w:pPr>
      <w:keepNext w:val="true"/>
      <w:keepLines/>
      <w:spacing w:before="240" w:after="0"/>
      <w:outlineLvl w:val="0"/>
    </w:pPr>
    <w:rPr>
      <w:rFonts w:eastAsia="" w:cs="" w:cstheme="majorBidi" w:eastAsiaTheme="majorEastAsia"/>
      <w:b/>
      <w:sz w:val="32"/>
      <w:szCs w:val="32"/>
    </w:rPr>
  </w:style>
  <w:style w:type="paragraph" w:styleId="Heading2">
    <w:name w:val="Heading 2"/>
    <w:basedOn w:val="Normal"/>
    <w:next w:val="Normal"/>
    <w:link w:val="Heading2Char"/>
    <w:uiPriority w:val="9"/>
    <w:unhideWhenUsed/>
    <w:qFormat/>
    <w:rsid w:val="0038690d"/>
    <w:pPr>
      <w:keepNext w:val="true"/>
      <w:keepLines/>
      <w:spacing w:before="40" w:after="0"/>
      <w:outlineLvl w:val="1"/>
    </w:pPr>
    <w:rPr>
      <w:rFonts w:eastAsia="" w:cs="" w:cstheme="majorBidi" w:eastAsiaTheme="majorEastAsia"/>
      <w:b/>
      <w:sz w:val="26"/>
      <w:szCs w:val="2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d07662"/>
    <w:rPr/>
  </w:style>
  <w:style w:type="character" w:styleId="FooterChar" w:customStyle="1">
    <w:name w:val="Footer Char"/>
    <w:basedOn w:val="DefaultParagraphFont"/>
    <w:link w:val="Footer"/>
    <w:uiPriority w:val="99"/>
    <w:qFormat/>
    <w:rsid w:val="00d07662"/>
    <w:rPr/>
  </w:style>
  <w:style w:type="character" w:styleId="TitleChar" w:customStyle="1">
    <w:name w:val="Title Char"/>
    <w:basedOn w:val="DefaultParagraphFont"/>
    <w:link w:val="Title"/>
    <w:uiPriority w:val="10"/>
    <w:qFormat/>
    <w:rsid w:val="0038690d"/>
    <w:rPr>
      <w:rFonts w:ascii="Calibri Light" w:hAnsi="Calibri Light" w:eastAsia="" w:cs="" w:asciiTheme="majorHAnsi" w:cstheme="majorBidi" w:eastAsiaTheme="majorEastAsia" w:hAnsiTheme="majorHAnsi"/>
      <w:b/>
      <w:spacing w:val="-10"/>
      <w:kern w:val="2"/>
      <w:sz w:val="56"/>
      <w:szCs w:val="56"/>
    </w:rPr>
  </w:style>
  <w:style w:type="character" w:styleId="Heading1Char" w:customStyle="1">
    <w:name w:val="Heading 1 Char"/>
    <w:basedOn w:val="DefaultParagraphFont"/>
    <w:link w:val="Heading1"/>
    <w:uiPriority w:val="9"/>
    <w:qFormat/>
    <w:rsid w:val="0038690d"/>
    <w:rPr>
      <w:rFonts w:eastAsia="" w:cs="" w:cstheme="majorBidi" w:eastAsiaTheme="majorEastAsia"/>
      <w:b/>
      <w:sz w:val="32"/>
      <w:szCs w:val="32"/>
    </w:rPr>
  </w:style>
  <w:style w:type="character" w:styleId="InternetLink">
    <w:name w:val="Hyperlink"/>
    <w:basedOn w:val="DefaultParagraphFont"/>
    <w:uiPriority w:val="99"/>
    <w:unhideWhenUsed/>
    <w:rsid w:val="00fa352e"/>
    <w:rPr>
      <w:color w:val="0563C1" w:themeColor="hyperlink"/>
      <w:u w:val="single"/>
    </w:rPr>
  </w:style>
  <w:style w:type="character" w:styleId="Heading2Char" w:customStyle="1">
    <w:name w:val="Heading 2 Char"/>
    <w:basedOn w:val="DefaultParagraphFont"/>
    <w:link w:val="Heading2"/>
    <w:uiPriority w:val="9"/>
    <w:qFormat/>
    <w:rsid w:val="0038690d"/>
    <w:rPr>
      <w:rFonts w:eastAsia="" w:cs="" w:cstheme="majorBidi" w:eastAsiaTheme="majorEastAsia"/>
      <w:b/>
      <w:sz w:val="26"/>
      <w:szCs w:val="26"/>
    </w:rPr>
  </w:style>
  <w:style w:type="character" w:styleId="Annotationreference">
    <w:name w:val="annotation reference"/>
    <w:basedOn w:val="DefaultParagraphFont"/>
    <w:uiPriority w:val="99"/>
    <w:semiHidden/>
    <w:unhideWhenUsed/>
    <w:qFormat/>
    <w:rsid w:val="001a16c0"/>
    <w:rPr>
      <w:sz w:val="16"/>
      <w:szCs w:val="16"/>
    </w:rPr>
  </w:style>
  <w:style w:type="character" w:styleId="CommentTextChar" w:customStyle="1">
    <w:name w:val="Comment Text Char"/>
    <w:basedOn w:val="DefaultParagraphFont"/>
    <w:link w:val="Annotationtext"/>
    <w:uiPriority w:val="99"/>
    <w:semiHidden/>
    <w:qFormat/>
    <w:rsid w:val="001a16c0"/>
    <w:rPr>
      <w:sz w:val="20"/>
      <w:szCs w:val="20"/>
    </w:rPr>
  </w:style>
  <w:style w:type="character" w:styleId="CommentSubjectChar" w:customStyle="1">
    <w:name w:val="Comment Subject Char"/>
    <w:basedOn w:val="CommentTextChar"/>
    <w:link w:val="Annotationsubject"/>
    <w:uiPriority w:val="99"/>
    <w:semiHidden/>
    <w:qFormat/>
    <w:rsid w:val="001a16c0"/>
    <w:rPr>
      <w:b/>
      <w:bCs/>
      <w:sz w:val="20"/>
      <w:szCs w:val="20"/>
    </w:rPr>
  </w:style>
  <w:style w:type="character" w:styleId="BalloonTextChar" w:customStyle="1">
    <w:name w:val="Balloon Text Char"/>
    <w:basedOn w:val="DefaultParagraphFont"/>
    <w:link w:val="BalloonText"/>
    <w:uiPriority w:val="99"/>
    <w:semiHidden/>
    <w:qFormat/>
    <w:rsid w:val="001a16c0"/>
    <w:rPr>
      <w:rFonts w:ascii="Segoe UI" w:hAnsi="Segoe UI" w:cs="Segoe UI"/>
      <w:sz w:val="18"/>
      <w:szCs w:val="18"/>
    </w:rPr>
  </w:style>
  <w:style w:type="character" w:styleId="UnresolvedMention">
    <w:name w:val="Unresolved Mention"/>
    <w:basedOn w:val="DefaultParagraphFont"/>
    <w:uiPriority w:val="99"/>
    <w:semiHidden/>
    <w:unhideWhenUsed/>
    <w:qFormat/>
    <w:rsid w:val="00eb724e"/>
    <w:rPr>
      <w:color w:val="605E5C"/>
      <w:shd w:fill="E1DFDD" w:val="clear"/>
    </w:rPr>
  </w:style>
  <w:style w:type="character" w:styleId="VisitedInternetLink">
    <w:name w:val="FollowedHyperlink"/>
    <w:basedOn w:val="DefaultParagraphFont"/>
    <w:uiPriority w:val="99"/>
    <w:semiHidden/>
    <w:unhideWhenUsed/>
    <w:rsid w:val="00142bd9"/>
    <w:rPr>
      <w:color w:val="954F72" w:themeColor="followedHyperlink"/>
      <w:u w:val="single"/>
    </w:rPr>
  </w:style>
  <w:style w:type="character" w:styleId="FootnoteTextChar" w:customStyle="1">
    <w:name w:val="Footnote Text Char"/>
    <w:basedOn w:val="DefaultParagraphFont"/>
    <w:link w:val="Footnote"/>
    <w:uiPriority w:val="99"/>
    <w:semiHidden/>
    <w:qFormat/>
    <w:rsid w:val="00a13c6d"/>
    <w:rPr>
      <w:sz w:val="20"/>
      <w:szCs w:val="20"/>
    </w:rPr>
  </w:style>
  <w:style w:type="character" w:styleId="FootnoteCharacters">
    <w:name w:val="Footnote Characters"/>
    <w:basedOn w:val="DefaultParagraphFont"/>
    <w:uiPriority w:val="99"/>
    <w:semiHidden/>
    <w:unhideWhenUsed/>
    <w:qFormat/>
    <w:rsid w:val="00a13c6d"/>
    <w:rPr>
      <w:vertAlign w:val="superscript"/>
    </w:rPr>
  </w:style>
  <w:style w:type="character" w:styleId="FootnoteAnchor">
    <w:name w:val="Footnote Reference"/>
    <w:rPr>
      <w:vertAlign w:val="superscript"/>
    </w:rPr>
  </w:style>
  <w:style w:type="character" w:styleId="QuoteChar" w:customStyle="1">
    <w:name w:val="Quote Char"/>
    <w:basedOn w:val="DefaultParagraphFont"/>
    <w:link w:val="Quote"/>
    <w:uiPriority w:val="29"/>
    <w:qFormat/>
    <w:rsid w:val="0096556d"/>
    <w:rPr>
      <w:i/>
      <w:iCs/>
      <w:color w:val="000000" w:themeColor="text1"/>
    </w:rPr>
  </w:style>
  <w:style w:type="character" w:styleId="IndexLink">
    <w:name w:val="Index Link"/>
    <w:qFormat/>
    <w:rPr/>
  </w:style>
  <w:style w:type="character" w:styleId="EndnoteAnchor">
    <w:name w:val="Endnote Reference"/>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AR PL KaitiM GB"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8690d"/>
    <w:pPr>
      <w:spacing w:lineRule="auto" w:line="240" w:before="0" w:after="0"/>
      <w:contextualSpacing/>
    </w:pPr>
    <w:rPr>
      <w:rFonts w:ascii="Calibri Light" w:hAnsi="Calibri Light" w:eastAsia="" w:cs="" w:asciiTheme="majorHAnsi" w:cstheme="majorBidi" w:eastAsiaTheme="majorEastAsia" w:hAnsiTheme="majorHAnsi"/>
      <w:b/>
      <w:spacing w:val="-10"/>
      <w:kern w:val="2"/>
      <w:sz w:val="56"/>
      <w:szCs w:val="56"/>
    </w:rPr>
  </w:style>
  <w:style w:type="paragraph" w:styleId="HeaderandFooter">
    <w:name w:val="Header and Footer"/>
    <w:basedOn w:val="Normal"/>
    <w:qFormat/>
    <w:pPr/>
    <w:rPr/>
  </w:style>
  <w:style w:type="paragraph" w:styleId="Header">
    <w:name w:val="Header"/>
    <w:basedOn w:val="Normal"/>
    <w:link w:val="HeaderChar"/>
    <w:uiPriority w:val="99"/>
    <w:unhideWhenUsed/>
    <w:rsid w:val="00d07662"/>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07662"/>
    <w:pPr>
      <w:tabs>
        <w:tab w:val="clear" w:pos="720"/>
        <w:tab w:val="center" w:pos="4513" w:leader="none"/>
        <w:tab w:val="right" w:pos="9026" w:leader="none"/>
      </w:tabs>
      <w:spacing w:lineRule="auto" w:line="240" w:before="0" w:after="0"/>
    </w:pPr>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fa352e"/>
    <w:pPr>
      <w:outlineLvl w:val="9"/>
    </w:pPr>
    <w:rPr>
      <w:lang w:val="en-US"/>
    </w:rPr>
  </w:style>
  <w:style w:type="paragraph" w:styleId="Contents1">
    <w:name w:val="TOC 1"/>
    <w:basedOn w:val="Normal"/>
    <w:next w:val="Normal"/>
    <w:autoRedefine/>
    <w:uiPriority w:val="39"/>
    <w:unhideWhenUsed/>
    <w:rsid w:val="00fa352e"/>
    <w:pPr>
      <w:spacing w:before="0" w:after="100"/>
    </w:pPr>
    <w:rPr/>
  </w:style>
  <w:style w:type="paragraph" w:styleId="ListParagraph">
    <w:name w:val="List Paragraph"/>
    <w:basedOn w:val="Normal"/>
    <w:uiPriority w:val="34"/>
    <w:qFormat/>
    <w:rsid w:val="0051589f"/>
    <w:pPr>
      <w:spacing w:before="0" w:after="160"/>
      <w:ind w:left="720" w:hanging="0"/>
      <w:contextualSpacing/>
    </w:pPr>
    <w:rPr/>
  </w:style>
  <w:style w:type="paragraph" w:styleId="NormalWeb">
    <w:name w:val="Normal (Web)"/>
    <w:basedOn w:val="Normal"/>
    <w:uiPriority w:val="99"/>
    <w:semiHidden/>
    <w:unhideWhenUsed/>
    <w:qFormat/>
    <w:rsid w:val="00f60459"/>
    <w:pPr>
      <w:spacing w:lineRule="auto" w:line="240" w:before="0" w:after="0"/>
    </w:pPr>
    <w:rPr>
      <w:rFonts w:ascii="Times New Roman" w:hAnsi="Times New Roman" w:cs="Times New Roman"/>
      <w:sz w:val="24"/>
      <w:szCs w:val="24"/>
    </w:rPr>
  </w:style>
  <w:style w:type="paragraph" w:styleId="Contents2">
    <w:name w:val="TOC 2"/>
    <w:basedOn w:val="Normal"/>
    <w:next w:val="Normal"/>
    <w:autoRedefine/>
    <w:uiPriority w:val="39"/>
    <w:unhideWhenUsed/>
    <w:rsid w:val="00610ac6"/>
    <w:pPr>
      <w:spacing w:before="0" w:after="100"/>
      <w:ind w:left="220" w:hanging="0"/>
    </w:pPr>
    <w:rPr/>
  </w:style>
  <w:style w:type="paragraph" w:styleId="Annotationtext">
    <w:name w:val="annotation text"/>
    <w:basedOn w:val="Normal"/>
    <w:link w:val="CommentTextChar"/>
    <w:uiPriority w:val="99"/>
    <w:semiHidden/>
    <w:unhideWhenUsed/>
    <w:qFormat/>
    <w:rsid w:val="001a16c0"/>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1a16c0"/>
    <w:pPr/>
    <w:rPr>
      <w:b/>
      <w:bCs/>
    </w:rPr>
  </w:style>
  <w:style w:type="paragraph" w:styleId="BalloonText">
    <w:name w:val="Balloon Text"/>
    <w:basedOn w:val="Normal"/>
    <w:link w:val="BalloonTextChar"/>
    <w:uiPriority w:val="99"/>
    <w:semiHidden/>
    <w:unhideWhenUsed/>
    <w:qFormat/>
    <w:rsid w:val="001a16c0"/>
    <w:pPr>
      <w:spacing w:lineRule="auto" w:line="240" w:before="0" w:after="0"/>
    </w:pPr>
    <w:rPr>
      <w:rFonts w:ascii="Segoe UI" w:hAnsi="Segoe UI" w:cs="Segoe UI"/>
      <w:sz w:val="18"/>
      <w:szCs w:val="18"/>
    </w:rPr>
  </w:style>
  <w:style w:type="paragraph" w:styleId="Footnote">
    <w:name w:val="Footnote Text"/>
    <w:basedOn w:val="Normal"/>
    <w:link w:val="FootnoteTextChar"/>
    <w:uiPriority w:val="99"/>
    <w:semiHidden/>
    <w:unhideWhenUsed/>
    <w:rsid w:val="00a13c6d"/>
    <w:pPr>
      <w:spacing w:lineRule="auto" w:line="240" w:before="0" w:after="0"/>
    </w:pPr>
    <w:rPr>
      <w:sz w:val="20"/>
      <w:szCs w:val="20"/>
    </w:rPr>
  </w:style>
  <w:style w:type="paragraph" w:styleId="TableStyle1" w:customStyle="1">
    <w:name w:val="Table Style 1"/>
    <w:qFormat/>
    <w:rsid w:val="000f27be"/>
    <w:pPr>
      <w:widowControl/>
      <w:pBdr/>
      <w:bidi w:val="0"/>
      <w:spacing w:lineRule="auto" w:line="240" w:before="0" w:after="0"/>
      <w:jc w:val="left"/>
    </w:pPr>
    <w:rPr>
      <w:rFonts w:ascii="Helvetica Neue" w:hAnsi="Helvetica Neue" w:eastAsia="Helvetica Neue" w:cs="Helvetica Neue"/>
      <w:b/>
      <w:bCs/>
      <w:color w:val="000000"/>
      <w:kern w:val="0"/>
      <w:sz w:val="20"/>
      <w:szCs w:val="20"/>
      <w:lang w:val="en-GB" w:eastAsia="en-GB" w:bidi="ar-SA"/>
      <w14:textOutline w14:w="0" w14:cap="flat" w14:cmpd="sng" w14:algn="ctr">
        <w14:noFill/>
        <w14:prstDash w14:val="solid"/>
        <w14:bevel/>
      </w14:textOutline>
    </w:rPr>
  </w:style>
  <w:style w:type="paragraph" w:styleId="TableStyle2" w:customStyle="1">
    <w:name w:val="Table Style 2"/>
    <w:qFormat/>
    <w:rsid w:val="000f27be"/>
    <w:pPr>
      <w:widowControl/>
      <w:pBdr/>
      <w:bidi w:val="0"/>
      <w:spacing w:lineRule="auto" w:line="240" w:before="0" w:after="0"/>
      <w:jc w:val="left"/>
    </w:pPr>
    <w:rPr>
      <w:rFonts w:ascii="Helvetica Neue" w:hAnsi="Helvetica Neue" w:eastAsia="Arial Unicode MS" w:cs="Arial Unicode MS"/>
      <w:color w:val="000000"/>
      <w:kern w:val="0"/>
      <w:sz w:val="20"/>
      <w:szCs w:val="20"/>
      <w:lang w:val="en-US" w:eastAsia="en-GB" w:bidi="ar-SA"/>
      <w14:textOutline w14:w="0" w14:cap="flat" w14:cmpd="sng" w14:algn="ctr">
        <w14:noFill/>
        <w14:prstDash w14:val="solid"/>
        <w14:bevel/>
      </w14:textOutline>
    </w:rPr>
  </w:style>
  <w:style w:type="paragraph" w:styleId="Revision">
    <w:name w:val="Revision"/>
    <w:uiPriority w:val="99"/>
    <w:semiHidden/>
    <w:qFormat/>
    <w:rsid w:val="00407346"/>
    <w:pPr>
      <w:widowControl/>
      <w:bidi w:val="0"/>
      <w:spacing w:lineRule="auto" w:line="240" w:before="0" w:after="0"/>
      <w:jc w:val="left"/>
    </w:pPr>
    <w:rPr>
      <w:rFonts w:ascii="Calibri" w:hAnsi="Calibri" w:eastAsia="Calibri" w:cs="Calibri"/>
      <w:color w:val="auto"/>
      <w:kern w:val="0"/>
      <w:sz w:val="22"/>
      <w:szCs w:val="22"/>
      <w:lang w:val="en-GB" w:eastAsia="en-GB" w:bidi="ar-SA"/>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NoSpacing">
    <w:name w:val="No Spacing"/>
    <w:uiPriority w:val="1"/>
    <w:qFormat/>
    <w:rsid w:val="0096556d"/>
    <w:pPr>
      <w:widowControl/>
      <w:bidi w:val="0"/>
      <w:spacing w:lineRule="auto" w:line="240" w:before="0" w:after="0"/>
      <w:jc w:val="left"/>
    </w:pPr>
    <w:rPr>
      <w:rFonts w:ascii="Calibri" w:hAnsi="Calibri" w:eastAsia="Calibri" w:cs="Calibri"/>
      <w:color w:val="auto"/>
      <w:kern w:val="0"/>
      <w:sz w:val="22"/>
      <w:szCs w:val="22"/>
      <w:lang w:val="en-GB" w:eastAsia="en-GB" w:bidi="ar-SA"/>
    </w:rPr>
  </w:style>
  <w:style w:type="paragraph" w:styleId="Quote">
    <w:name w:val="Quote"/>
    <w:basedOn w:val="Normal"/>
    <w:next w:val="Normal"/>
    <w:link w:val="QuoteChar"/>
    <w:uiPriority w:val="29"/>
    <w:qFormat/>
    <w:rsid w:val="0096556d"/>
    <w:pPr>
      <w:spacing w:before="200" w:after="160"/>
      <w:ind w:left="864" w:right="864" w:hanging="0"/>
      <w:jc w:val="center"/>
    </w:pPr>
    <w:rPr>
      <w:i/>
      <w:iCs/>
      <w:color w:val="000000" w:themeColor="text1"/>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styleId="TableGrid">
    <w:name w:val="Table Grid"/>
    <w:basedOn w:val="TableNormal"/>
    <w:rsid w:val="004d536d"/>
    <w:pPr>
      <w:spacing w:after="200" w:line="276"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l.barnby@derby.ac.uk" TargetMode="External"/><Relationship Id="rId4" Type="http://schemas.openxmlformats.org/officeDocument/2006/relationships/hyperlink" Target="mailto:P.Staynova@derby.ac.uk" TargetMode="External"/><Relationship Id="rId5" Type="http://schemas.openxmlformats.org/officeDocument/2006/relationships/hyperlink" Target="mailto:v.markos@mc-class.gr" TargetMode="External"/><Relationship Id="rId6" Type="http://schemas.openxmlformats.org/officeDocument/2006/relationships/hyperlink" Target="https://www.derby.ac.uk/about/academic-regulations/"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notes" Target="footnote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 Id="rId19" Type="http://schemas.openxmlformats.org/officeDocument/2006/relationships/customXml" Target="../customXml/item2.xml"/><Relationship Id="rId20" Type="http://schemas.openxmlformats.org/officeDocument/2006/relationships/customXml" Target="../customXml/item3.xml"/><Relationship Id="rId21" Type="http://schemas.openxmlformats.org/officeDocument/2006/relationships/customXml" Target="../customXml/item4.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N9JbF5JNKnS87OhYrt1j7NY82rA==">CgMxLjAyCGguZ2pkZ3hzMgloLjMwajB6bGwyCWguMWZvYjl0ZTIJaC4zem55c2g3MghoLnR5amN3dDIJaC4zZHk2dmttMgloLjF0M2g1c2Y4AHIhMTJDeERQSlo4TUJDNEZMdEcxV0luLUYtZllmU0Jrc2ox</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8E9AC2D8CFB8B41AABCC159999A4638" ma:contentTypeVersion="3" ma:contentTypeDescription="Create a new document." ma:contentTypeScope="" ma:versionID="af254165cddead50929d87cdbcf97767">
  <xsd:schema xmlns:xsd="http://www.w3.org/2001/XMLSchema" xmlns:xs="http://www.w3.org/2001/XMLSchema" xmlns:p="http://schemas.microsoft.com/office/2006/metadata/properties" xmlns:ns2="4cb626c9-b1d3-40fc-bfd5-902d07b155e1" targetNamespace="http://schemas.microsoft.com/office/2006/metadata/properties" ma:root="true" ma:fieldsID="7147b54fbd3426af12a0eb4d4f630e42" ns2:_="">
    <xsd:import namespace="4cb626c9-b1d3-40fc-bfd5-902d07b155e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b626c9-b1d3-40fc-bfd5-902d07b155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01023E6-FB7C-4792-949E-A970A09670EB}"/>
</file>

<file path=customXml/itemProps3.xml><?xml version="1.0" encoding="utf-8"?>
<ds:datastoreItem xmlns:ds="http://schemas.openxmlformats.org/officeDocument/2006/customXml" ds:itemID="{17B58667-279A-4BB4-86CC-90020E7D3D9C}"/>
</file>

<file path=customXml/itemProps4.xml><?xml version="1.0" encoding="utf-8"?>
<ds:datastoreItem xmlns:ds="http://schemas.openxmlformats.org/officeDocument/2006/customXml" ds:itemID="{44E67AB3-BCC4-4018-83F0-5FF53522D642}"/>
</file>

<file path=docProps/app.xml><?xml version="1.0" encoding="utf-8"?>
<Properties xmlns="http://schemas.openxmlformats.org/officeDocument/2006/extended-properties" xmlns:vt="http://schemas.openxmlformats.org/officeDocument/2006/docPropsVTypes">
  <Template>Normal.dotm</Template>
  <TotalTime>26</TotalTime>
  <Application>LibreOffice/7.4.7.2$Linux_X86_64 LibreOffice_project/40$Build-2</Application>
  <AppVersion>15.0000</AppVersion>
  <Pages>7</Pages>
  <Words>1348</Words>
  <Characters>7341</Characters>
  <CharactersWithSpaces>8579</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2025-11-20T18:04:00Z</dcterms:created>
  <dc:creator>Keith Taynton</dc:creator>
  <dc:description/>
  <dc:language>en-US</dc:language>
  <cp:lastModifiedBy/>
  <dcterms:modified xsi:type="dcterms:W3CDTF">2026-10-19T10:31:39Z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0x010100A8E9AC2D8CFB8B41AABCC159999A4638</vt:lpwstr>
  </property>
  <property fmtid="{D5CDD505-2E9C-101B-9397-08002B2CF9AE}" pid="3" name="MSIP_Label_501a0944-9d81-4c75-b857-2ec7863455b7_Application">
    <vt:lpwstr>Microsoft Azure Information Protection</vt:lpwstr>
  </property>
  <property fmtid="{D5CDD505-2E9C-101B-9397-08002B2CF9AE}" pid="4" name="MSIP_Label_501a0944-9d81-4c75-b857-2ec7863455b7_Enabled">
    <vt:lpwstr>True</vt:lpwstr>
  </property>
  <property fmtid="{D5CDD505-2E9C-101B-9397-08002B2CF9AE}" pid="5" name="MSIP_Label_501a0944-9d81-4c75-b857-2ec7863455b7_Extended_MSFT_Method">
    <vt:lpwstr>Automatic</vt:lpwstr>
  </property>
  <property fmtid="{D5CDD505-2E9C-101B-9397-08002B2CF9AE}" pid="6" name="MSIP_Label_501a0944-9d81-4c75-b857-2ec7863455b7_Name">
    <vt:lpwstr>Internal with visible marking</vt:lpwstr>
  </property>
  <property fmtid="{D5CDD505-2E9C-101B-9397-08002B2CF9AE}" pid="7" name="MSIP_Label_501a0944-9d81-4c75-b857-2ec7863455b7_Owner">
    <vt:lpwstr>784648@derby.ac.uk</vt:lpwstr>
  </property>
  <property fmtid="{D5CDD505-2E9C-101B-9397-08002B2CF9AE}" pid="8" name="MSIP_Label_501a0944-9d81-4c75-b857-2ec7863455b7_Parent">
    <vt:lpwstr>b47d098f-2640-4837-b575-e0be04df0525</vt:lpwstr>
  </property>
  <property fmtid="{D5CDD505-2E9C-101B-9397-08002B2CF9AE}" pid="9" name="MSIP_Label_501a0944-9d81-4c75-b857-2ec7863455b7_SetDate">
    <vt:lpwstr>2019-04-05T13:08:19.6779202Z</vt:lpwstr>
  </property>
  <property fmtid="{D5CDD505-2E9C-101B-9397-08002B2CF9AE}" pid="10" name="MSIP_Label_501a0944-9d81-4c75-b857-2ec7863455b7_SiteId">
    <vt:lpwstr>98f1bb3a-5efa-4782-88ba-bd897db60e62</vt:lpwstr>
  </property>
  <property fmtid="{D5CDD505-2E9C-101B-9397-08002B2CF9AE}" pid="11" name="MSIP_Label_b47d098f-2640-4837-b575-e0be04df0525_Application">
    <vt:lpwstr>Microsoft Azure Information Protection</vt:lpwstr>
  </property>
  <property fmtid="{D5CDD505-2E9C-101B-9397-08002B2CF9AE}" pid="12" name="MSIP_Label_b47d098f-2640-4837-b575-e0be04df0525_Enabled">
    <vt:lpwstr>True</vt:lpwstr>
  </property>
  <property fmtid="{D5CDD505-2E9C-101B-9397-08002B2CF9AE}" pid="13" name="MSIP_Label_b47d098f-2640-4837-b575-e0be04df0525_Extended_MSFT_Method">
    <vt:lpwstr>Automatic</vt:lpwstr>
  </property>
  <property fmtid="{D5CDD505-2E9C-101B-9397-08002B2CF9AE}" pid="14" name="MSIP_Label_b47d098f-2640-4837-b575-e0be04df0525_Name">
    <vt:lpwstr>Internal</vt:lpwstr>
  </property>
  <property fmtid="{D5CDD505-2E9C-101B-9397-08002B2CF9AE}" pid="15" name="MSIP_Label_b47d098f-2640-4837-b575-e0be04df0525_Owner">
    <vt:lpwstr>784648@derby.ac.uk</vt:lpwstr>
  </property>
  <property fmtid="{D5CDD505-2E9C-101B-9397-08002B2CF9AE}" pid="16" name="MSIP_Label_b47d098f-2640-4837-b575-e0be04df0525_SetDate">
    <vt:lpwstr>2019-04-05T13:08:19.6779202Z</vt:lpwstr>
  </property>
  <property fmtid="{D5CDD505-2E9C-101B-9397-08002B2CF9AE}" pid="17" name="MSIP_Label_b47d098f-2640-4837-b575-e0be04df0525_SiteId">
    <vt:lpwstr>98f1bb3a-5efa-4782-88ba-bd897db60e62</vt:lpwstr>
  </property>
  <property fmtid="{D5CDD505-2E9C-101B-9397-08002B2CF9AE}" pid="18" name="Sensitivity">
    <vt:lpwstr>Internal Internal with visible marking</vt:lpwstr>
  </property>
  <property fmtid="{D5CDD505-2E9C-101B-9397-08002B2CF9AE}" pid="19" name="_dlc_DocIdItemGuid">
    <vt:lpwstr>95687468-c92c-45cc-8fe7-8c5e5c74d8fb</vt:lpwstr>
  </property>
</Properties>
</file>