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color w:val="6B7785"/>
          <w:sz w:val="32"/>
          <w:szCs w:val="32"/>
        </w:rPr>
        <w:t xml:space="preserve">Práctica 2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Estudio y propuesta de paralelización de una aplicación</w:t>
      </w:r>
    </w:p>
    <w:p>
      <w:pPr>
        <w:spacing w:after="1200"/>
        <w:jc w:val="center"/>
      </w:pPr>
      <w:r>
        <w:rPr>
          <w:sz w:val="28"/>
          <w:szCs w:val="28"/>
        </w:rPr>
        <w:t xml:space="preserve">Cálculo del potencial y del campo eléctrico creados por un sistema de cargas puntuales</w:t>
      </w:r>
    </w:p>
    <w:p>
      <w:pPr>
        <w:jc w:val="center"/>
      </w:pPr>
      <w:r>
        <w:rPr>
          <w:sz w:val="24"/>
          <w:szCs w:val="24"/>
        </w:rPr>
        <w:t xml:space="preserve">Ingeniería de los Computadores — Curso 2026-27</w:t>
      </w:r>
    </w:p>
    <w:p>
      <w:pPr>
        <w:jc w:val="center"/>
      </w:pPr>
      <w:r>
        <w:rPr>
          <w:sz w:val="24"/>
          <w:szCs w:val="24"/>
        </w:rPr>
        <w:t xml:space="preserve">Universidad de Alicante</w:t>
      </w:r>
    </w:p>
    <w:p>
      <w:pPr>
        <w:spacing w:before="800"/>
        <w:jc w:val="center"/>
      </w:pPr>
      <w:r>
        <w:rPr>
          <w:sz w:val="24"/>
          <w:szCs w:val="24"/>
        </w:rPr>
        <w:t xml:space="preserve">Integrantes: [Nombre Apellido 1], [Nombre Apellido 2]</w:t>
      </w:r>
    </w:p>
    <w:p>
      <w:pPr>
        <w:jc w:val="center"/>
      </w:pPr>
      <w:r>
        <w:rPr>
          <w:sz w:val="24"/>
          <w:szCs w:val="24"/>
        </w:rPr>
        <w:t xml:space="preserve">Grupo de prácticas: [grupo]      Fecha: [fecha de entrega]</w:t>
      </w:r>
    </w:p>
    <w:p>
      <w:pPr>
        <w:spacing w:before="1600"/>
        <w:jc w:val="center"/>
      </w:pPr>
      <w:r>
        <w:rPr>
          <w:i/>
          <w:iCs/>
          <w:color w:val="6B7785"/>
          <w:sz w:val="18"/>
          <w:szCs w:val="18"/>
        </w:rPr>
        <w:t xml:space="preserve">Esqueleto: el texto gris entre corchetes son indicaciones para redactar cada apartado. Borradlo al escribir la versión final.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rPr>
          <w:i/>
          <w:iCs/>
          <w:color w:val="6B7785"/>
        </w:rPr>
        <w:t xml:space="preserve">[En Google Docs: Insertar → Índice para regenerarlo. En Word: clic derecho → Actualizar campo.]</w:t>
      </w:r>
    </w:p>
    <w:p>
      <w:r>
        <w:br w:type="page"/>
      </w:r>
    </w:p>
    <w:p>
      <w:pPr>
        <w:pStyle w:val="Heading1"/>
      </w:pPr>
      <w:r>
        <w:t xml:space="preserve">1. Objetivos y descripción del problema</w:t>
      </w:r>
    </w:p>
    <w:p>
      <w:pPr>
        <w:spacing w:after="120"/>
      </w:pPr>
      <w:r>
        <w:rPr>
          <w:i/>
          <w:iCs/>
          <w:color w:val="6B7785"/>
        </w:rPr>
        <w:t xml:space="preserve">[Responsable: Persona A]</w:t>
      </w:r>
    </w:p>
    <w:p>
      <w:pPr>
        <w:pStyle w:val="Heading2"/>
      </w:pPr>
      <w:r>
        <w:t xml:space="preserve">1.1 Objetivos</w:t>
      </w:r>
    </w:p>
    <w:p>
      <w:pPr>
        <w:spacing w:after="120"/>
      </w:pPr>
      <w:r>
        <w:rPr>
          <w:i/>
          <w:iCs/>
          <w:color w:val="6B7785"/>
        </w:rPr>
        <w:t xml:space="preserve">[Resumir los objetivos del enunciado aplicados a este problema: identificar la carga computacional, las dependencias, el escalado con el tamaño del problema, el efecto de las opciones de compilación y proponer una arquitectura paralela.]</w:t>
      </w:r>
    </w:p>
    <w:p>
      <w:pPr>
        <w:pStyle w:val="Heading2"/>
      </w:pPr>
      <w:r>
        <w:t xml:space="preserve">1.2 Descripción del problema</w:t>
      </w:r>
    </w:p>
    <w:p>
      <w:pPr>
        <w:spacing w:after="120"/>
      </w:pPr>
      <w:r>
        <w:rPr>
          <w:i/>
          <w:iCs/>
          <w:color w:val="6B7785"/>
        </w:rPr>
        <w:t xml:space="preserve">[Explicar el problema físico: dadas n cargas puntuales en una región plana, calcular en cada punto de una malla el potencial eléctrico V (escalar) y el módulo del campo eléctrico |E| (vectorial). Por qué es costoso: cada punto suma la contribución de todas las cargas, coste O(ancho · alto · n).]</w:t>
      </w:r>
    </w:p>
    <w:p>
      <w:pPr>
        <w:pStyle w:val="Heading1"/>
      </w:pPr>
      <w:r>
        <w:t xml:space="preserve">2. Procedencia del código y modificaciones</w:t>
      </w:r>
    </w:p>
    <w:p>
      <w:pPr>
        <w:spacing w:after="120"/>
      </w:pPr>
      <w:r>
        <w:rPr>
          <w:i/>
          <w:iCs/>
          <w:color w:val="6B7785"/>
        </w:rPr>
        <w:t xml:space="preserve">[Responsable: Persona A]</w:t>
      </w:r>
    </w:p>
    <w:p>
      <w:pPr>
        <w:spacing w:after="120"/>
      </w:pPr>
      <w:r>
        <w:rPr>
          <w:i/>
          <w:iCs/>
          <w:color w:val="6B7785"/>
        </w:rPr>
        <w:t xml:space="preserve">[Indicar que el código se generó con Claude Code (modelo y fecha en prompts.txt) a partir de nuestras especificaciones, que se incluyen los prompts utilizados en el Anexo A y qué hemos revisado, medido o modificado nosotros. Enumerar las modificaciones posteriores:]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Versión inicial: cálculo del potencial y dibujo en el terminal.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Casos de prueba generados con generar_casos.py (series A y B).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Cálculo del módulo del campo eléctrico |E| como segunda tarea de cálculo independiente, y su dibujo debajo del potencial.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[Instrumentación por fases, cambios de estructura de datos, etc., si los hacemos]</w:t>
      </w:r>
    </w:p>
    <w:p>
      <w:pPr>
        <w:pStyle w:val="Heading1"/>
      </w:pPr>
      <w:r>
        <w:t xml:space="preserve">3. Descripción de la aplicación y caso de prueba de referencia</w:t>
      </w:r>
    </w:p>
    <w:p>
      <w:pPr>
        <w:spacing w:after="120"/>
      </w:pPr>
      <w:r>
        <w:rPr>
          <w:i/>
          <w:iCs/>
          <w:color w:val="6B7785"/>
        </w:rPr>
        <w:t xml:space="preserve">[Responsable: Persona A]</w:t>
      </w:r>
    </w:p>
    <w:p>
      <w:pPr>
        <w:pStyle w:val="Heading2"/>
      </w:pPr>
      <w:r>
        <w:t xml:space="preserve">3.1 Modelo físico</w:t>
      </w:r>
    </w:p>
    <w:p>
      <w:pPr>
        <w:spacing w:after="120"/>
      </w:pPr>
      <w:r>
        <w:rPr>
          <w:i/>
          <w:iCs/>
          <w:color w:val="6B7785"/>
        </w:rPr>
        <w:t xml:space="preserve">[Fórmulas de V y de E (copiar del README), unidades (µm, nC, V, V/m), radio mínimo R_MIN = 0,5 µm para evitar la singularidad y escala de color con tanh.]</w:t>
      </w:r>
    </w:p>
    <w:p>
      <w:pPr>
        <w:pStyle w:val="Heading2"/>
      </w:pPr>
      <w:r>
        <w:t xml:space="preserve">3.2 Estructura del programa</w:t>
      </w:r>
    </w:p>
    <w:p>
      <w:pPr>
        <w:spacing w:after="120"/>
      </w:pPr>
      <w:r>
        <w:rPr>
          <w:i/>
          <w:iCs/>
          <w:color w:val="6B7785"/>
        </w:rPr>
        <w:t xml:space="preserve">[Describir el flujo de main(): lectura, reserva de las mallas, cálculo de V, cálculo de |E|, dibujo de los dos mapas e informe de tiempos. Formato del fichero de entrada. Uso: make, make run, make clean, ./campo &lt;fichero&gt;.]</w:t>
      </w:r>
    </w:p>
    <w:p>
      <w:pPr>
        <w:pStyle w:val="Heading2"/>
      </w:pPr>
      <w:r>
        <w:t xml:space="preserve">3.3 Caso de prueba de referencia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shd w:fill="E3E8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Parámetro</w:t>
            </w:r>
          </w:p>
        </w:tc>
        <w:tc>
          <w:tcPr>
            <w:tcW w:type="dxa" w:w="64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shd w:fill="E3E8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Fichero</w:t>
            </w:r>
          </w:p>
        </w:tc>
        <w:tc>
          <w:tcPr>
            <w:tcW w:type="dxa" w:w="64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espacio.txt (el que ejecuta make run)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Región</w:t>
            </w:r>
          </w:p>
        </w:tc>
        <w:tc>
          <w:tcPr>
            <w:tcW w:type="dxa" w:w="64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5000 × 5000 µm (2,5 · 10⁷ puntos de malla)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Número de cargas</w:t>
            </w:r>
          </w:p>
        </w:tc>
        <w:tc>
          <w:tcPr>
            <w:tcW w:type="dxa" w:w="64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Evaluaciones</w:t>
            </w:r>
          </w:p>
        </w:tc>
        <w:tc>
          <w:tcPr>
            <w:tcW w:type="dxa" w:w="64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2,5 · 10⁹ por magnitud (5 · 10⁹ en total)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Memoria de las mallas</w:t>
            </w:r>
          </w:p>
        </w:tc>
        <w:tc>
          <w:tcPr>
            <w:tcW w:type="dxa" w:w="64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· 5000 · 5000 · 8 B = 400 MB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Compilación</w:t>
            </w:r>
          </w:p>
        </w:tc>
        <w:tc>
          <w:tcPr>
            <w:tcW w:type="dxa" w:w="64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g++ -O2 -std=c++11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Tiempo de ejecución</w:t>
            </w:r>
          </w:p>
        </w:tc>
        <w:tc>
          <w:tcPr>
            <w:tcW w:type="dxa" w:w="64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[medir en el entorno de la asignatura; ≈ 6,5 s en el equipo de desarrollo]</w:t>
            </w:r>
          </w:p>
        </w:tc>
      </w:tr>
    </w:tbl>
    <w:p/>
    <w:p>
      <w:pPr>
        <w:pStyle w:val="Heading1"/>
      </w:pPr>
      <w:r>
        <w:t xml:space="preserve">4. Grafo de dependencias y oportunidades de paralelismo</w:t>
      </w:r>
    </w:p>
    <w:p>
      <w:pPr>
        <w:spacing w:after="120"/>
      </w:pPr>
      <w:r>
        <w:rPr>
          <w:i/>
          <w:iCs/>
          <w:color w:val="6B7785"/>
        </w:rPr>
        <w:t xml:space="preserve">[Responsable: Persona A. Corresponde al apartado 2.1 del enunciado. Revisar los números de línea si cambia campo.cpp.]</w:t>
      </w:r>
    </w:p>
    <w:p>
      <w:pPr>
        <w:pStyle w:val="Heading2"/>
      </w:pPr>
      <w:r>
        <w:t xml:space="preserve">4.1 Tareas de la aplicación</w:t>
      </w:r>
    </w:p>
    <w:p>
      <w:pPr>
        <w:spacing w:after="120"/>
      </w:pPr>
      <w:r>
        <w:t xml:space="preserve">La aplicación se divide en las siguientes tareas. En el código actual T6 y T7 (y T10 y T11) están fusionadas en el mismo bucle de dibujar(), que para cada celda de la imagen promedia el bloque y calcula su color; se separan aquí porque son operaciones distintas.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2200"/>
        <w:gridCol w:w="1600"/>
        <w:gridCol w:w="1626"/>
      </w:tblGrid>
      <w:tr>
        <w:trPr>
          <w:tblHeader/>
        </w:trPr>
        <w:tc>
          <w:tcPr>
            <w:tcW w:type="dxa" w:w="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shd w:fill="E3E8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Tarea</w:t>
            </w:r>
          </w:p>
        </w:tc>
        <w:tc>
          <w:tcPr>
            <w:tcW w:type="dxa" w:w="29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shd w:fill="E3E8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Qué hace</w:t>
            </w:r>
          </w:p>
        </w:tc>
        <w:tc>
          <w:tcPr>
            <w:tcW w:type="dxa" w:w="22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shd w:fill="E3E8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Código</w:t>
            </w:r>
          </w:p>
        </w:tc>
        <w:tc>
          <w:tcPr>
            <w:tcW w:type="dxa" w:w="16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shd w:fill="E3E8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Depende de</w:t>
            </w:r>
          </w:p>
        </w:tc>
        <w:tc>
          <w:tcPr>
            <w:tcW w:type="dxa" w:w="16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shd w:fill="E3E8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Coste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T1</w:t>
            </w:r>
          </w:p>
        </w:tc>
        <w:tc>
          <w:tcPr>
            <w:tcW w:type="dxa" w:w="29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Lectura del fichero de entrada</w:t>
            </w:r>
          </w:p>
        </w:tc>
        <w:tc>
          <w:tcPr>
            <w:tcW w:type="dxa" w:w="22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leer_espacio() (l. 38)</w:t>
            </w:r>
          </w:p>
        </w:tc>
        <w:tc>
          <w:tcPr>
            <w:tcW w:type="dxa" w:w="16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O(n)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T2</w:t>
            </w:r>
          </w:p>
        </w:tc>
        <w:tc>
          <w:tcPr>
            <w:tcW w:type="dxa" w:w="29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Reserva e inicialización a cero de las mallas V y E</w:t>
            </w:r>
          </w:p>
        </w:tc>
        <w:tc>
          <w:tcPr>
            <w:tcW w:type="dxa" w:w="22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main() (l. 195-196)</w:t>
            </w:r>
          </w:p>
        </w:tc>
        <w:tc>
          <w:tcPr>
            <w:tcW w:type="dxa" w:w="16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T1 (ancho, alto)</w:t>
            </w:r>
          </w:p>
        </w:tc>
        <w:tc>
          <w:tcPr>
            <w:tcW w:type="dxa" w:w="16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O(ancho·alto)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T3</w:t>
            </w:r>
          </w:p>
        </w:tc>
        <w:tc>
          <w:tcPr>
            <w:tcW w:type="dxa" w:w="29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Cálculo del potencial V</w:t>
            </w:r>
          </w:p>
        </w:tc>
        <w:tc>
          <w:tcPr>
            <w:tcW w:type="dxa" w:w="22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calcular_potencial() (l. 64)</w:t>
            </w:r>
          </w:p>
        </w:tc>
        <w:tc>
          <w:tcPr>
            <w:tcW w:type="dxa" w:w="16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T1, T2</w:t>
            </w:r>
          </w:p>
        </w:tc>
        <w:tc>
          <w:tcPr>
            <w:tcW w:type="dxa" w:w="16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O(ancho·alto·n)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T4</w:t>
            </w:r>
          </w:p>
        </w:tc>
        <w:tc>
          <w:tcPr>
            <w:tcW w:type="dxa" w:w="29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Cálculo del módulo del campo |E|</w:t>
            </w:r>
          </w:p>
        </w:tc>
        <w:tc>
          <w:tcPr>
            <w:tcW w:type="dxa" w:w="22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calcular_campo() (l. 96)</w:t>
            </w:r>
          </w:p>
        </w:tc>
        <w:tc>
          <w:tcPr>
            <w:tcW w:type="dxa" w:w="16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T1, T2</w:t>
            </w:r>
          </w:p>
        </w:tc>
        <w:tc>
          <w:tcPr>
            <w:tcW w:type="dxa" w:w="16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O(ancho·alto·n)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T5</w:t>
            </w:r>
          </w:p>
        </w:tc>
        <w:tc>
          <w:tcPr>
            <w:tcW w:type="dxa" w:w="29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V_ref = media de |V| (reducción)</w:t>
            </w:r>
          </w:p>
        </w:tc>
        <w:tc>
          <w:tcPr>
            <w:tcW w:type="dxa" w:w="22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dibujar() (l. 145)</w:t>
            </w:r>
          </w:p>
        </w:tc>
        <w:tc>
          <w:tcPr>
            <w:tcW w:type="dxa" w:w="16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T3</w:t>
            </w:r>
          </w:p>
        </w:tc>
        <w:tc>
          <w:tcPr>
            <w:tcW w:type="dxa" w:w="16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O(ancho·alto)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T6</w:t>
            </w:r>
          </w:p>
        </w:tc>
        <w:tc>
          <w:tcPr>
            <w:tcW w:type="dxa" w:w="29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Promedio de bloques de V</w:t>
            </w:r>
          </w:p>
        </w:tc>
        <w:tc>
          <w:tcPr>
            <w:tcW w:type="dxa" w:w="22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dibujar() (l. 157)</w:t>
            </w:r>
          </w:p>
        </w:tc>
        <w:tc>
          <w:tcPr>
            <w:tcW w:type="dxa" w:w="16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T3</w:t>
            </w:r>
          </w:p>
        </w:tc>
        <w:tc>
          <w:tcPr>
            <w:tcW w:type="dxa" w:w="16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O(ancho·alto)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T7</w:t>
            </w:r>
          </w:p>
        </w:tc>
        <w:tc>
          <w:tcPr>
            <w:tcW w:type="dxa" w:w="29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Color RGB y cadena ANSI de V</w:t>
            </w:r>
          </w:p>
        </w:tc>
        <w:tc>
          <w:tcPr>
            <w:tcW w:type="dxa" w:w="22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dibujar() (l. 162)</w:t>
            </w:r>
          </w:p>
        </w:tc>
        <w:tc>
          <w:tcPr>
            <w:tcW w:type="dxa" w:w="16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T5, T6</w:t>
            </w:r>
          </w:p>
        </w:tc>
        <w:tc>
          <w:tcPr>
            <w:tcW w:type="dxa" w:w="16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O(100·50)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T8</w:t>
            </w:r>
          </w:p>
        </w:tc>
        <w:tc>
          <w:tcPr>
            <w:tcW w:type="dxa" w:w="29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Escritura del mapa de V</w:t>
            </w:r>
          </w:p>
        </w:tc>
        <w:tc>
          <w:tcPr>
            <w:tcW w:type="dxa" w:w="22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dibujar() (l. 179)</w:t>
            </w:r>
          </w:p>
        </w:tc>
        <w:tc>
          <w:tcPr>
            <w:tcW w:type="dxa" w:w="16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T7</w:t>
            </w:r>
          </w:p>
        </w:tc>
        <w:tc>
          <w:tcPr>
            <w:tcW w:type="dxa" w:w="16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O(100·50)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T9</w:t>
            </w:r>
          </w:p>
        </w:tc>
        <w:tc>
          <w:tcPr>
            <w:tcW w:type="dxa" w:w="29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E_ref = media de |E| (reducción)</w:t>
            </w:r>
          </w:p>
        </w:tc>
        <w:tc>
          <w:tcPr>
            <w:tcW w:type="dxa" w:w="22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dibujar() (l. 145)</w:t>
            </w:r>
          </w:p>
        </w:tc>
        <w:tc>
          <w:tcPr>
            <w:tcW w:type="dxa" w:w="16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T4</w:t>
            </w:r>
          </w:p>
        </w:tc>
        <w:tc>
          <w:tcPr>
            <w:tcW w:type="dxa" w:w="16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O(ancho·alto)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T10</w:t>
            </w:r>
          </w:p>
        </w:tc>
        <w:tc>
          <w:tcPr>
            <w:tcW w:type="dxa" w:w="29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Promedio de bloques de |E|</w:t>
            </w:r>
          </w:p>
        </w:tc>
        <w:tc>
          <w:tcPr>
            <w:tcW w:type="dxa" w:w="22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dibujar() (l. 157)</w:t>
            </w:r>
          </w:p>
        </w:tc>
        <w:tc>
          <w:tcPr>
            <w:tcW w:type="dxa" w:w="16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T4</w:t>
            </w:r>
          </w:p>
        </w:tc>
        <w:tc>
          <w:tcPr>
            <w:tcW w:type="dxa" w:w="16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O(ancho·alto)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T11</w:t>
            </w:r>
          </w:p>
        </w:tc>
        <w:tc>
          <w:tcPr>
            <w:tcW w:type="dxa" w:w="29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Color RGB y cadena ANSI de |E|</w:t>
            </w:r>
          </w:p>
        </w:tc>
        <w:tc>
          <w:tcPr>
            <w:tcW w:type="dxa" w:w="22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dibujar() (l. 162)</w:t>
            </w:r>
          </w:p>
        </w:tc>
        <w:tc>
          <w:tcPr>
            <w:tcW w:type="dxa" w:w="16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T9, T10</w:t>
            </w:r>
          </w:p>
        </w:tc>
        <w:tc>
          <w:tcPr>
            <w:tcW w:type="dxa" w:w="16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O(100·50)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T12</w:t>
            </w:r>
          </w:p>
        </w:tc>
        <w:tc>
          <w:tcPr>
            <w:tcW w:type="dxa" w:w="29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Escritura del mapa de |E|</w:t>
            </w:r>
          </w:p>
        </w:tc>
        <w:tc>
          <w:tcPr>
            <w:tcW w:type="dxa" w:w="22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dibujar() (l. 179)</w:t>
            </w:r>
          </w:p>
        </w:tc>
        <w:tc>
          <w:tcPr>
            <w:tcW w:type="dxa" w:w="16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T11, T8 (orden)</w:t>
            </w:r>
          </w:p>
        </w:tc>
        <w:tc>
          <w:tcPr>
            <w:tcW w:type="dxa" w:w="16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O(100·50)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T13</w:t>
            </w:r>
          </w:p>
        </w:tc>
        <w:tc>
          <w:tcPr>
            <w:tcW w:type="dxa" w:w="29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Informe de tiempos</w:t>
            </w:r>
          </w:p>
        </w:tc>
        <w:tc>
          <w:tcPr>
            <w:tcW w:type="dxa" w:w="22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main() (l. 211)</w:t>
            </w:r>
          </w:p>
        </w:tc>
        <w:tc>
          <w:tcPr>
            <w:tcW w:type="dxa" w:w="16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T3, T4</w:t>
            </w:r>
          </w:p>
        </w:tc>
        <w:tc>
          <w:tcPr>
            <w:tcW w:type="dxa" w:w="16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O(1)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sz w:val="18"/>
          <w:szCs w:val="18"/>
        </w:rPr>
        <w:t xml:space="preserve">Tabla 4.1. Tareas de campo.cpp, parte del código que las implementa y dependencias.</w:t>
      </w:r>
    </w:p>
    <w:p>
      <w:pPr>
        <w:pStyle w:val="Heading2"/>
      </w:pPr>
      <w:r>
        <w:t xml:space="preserve">4.2 Grafo de dependencias</w:t>
      </w:r>
    </w:p>
    <w:p>
      <w:pPr>
        <w:jc w:val="center"/>
      </w:pPr>
      <w:r>
        <w:drawing>
          <wp:inline distT="0" distB="0" distL="0" distR="0">
            <wp:extent cx="5715000" cy="4314825"/>
            <wp:effectExtent t="0" r="0" b="0" l="0"/>
            <wp:docPr id="1" name="grafo" descr="Grafo de dependencias entre las tareas T1 a T13 de campo.cpp" title="Grafo de dependen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sz w:val="18"/>
          <w:szCs w:val="18"/>
        </w:rPr>
        <w:t xml:space="preserve">Figura 4.1. Grafo de dependencias. En rojo, las tareas de cálculo, que concentran casi todo el tiempo. Flecha discontinua: dependencia solo de orden de salida. Flecha punteada: el informe de tiempos solo necesita que terminen los cálculos.</w:t>
      </w:r>
    </w:p>
    <w:p>
      <w:pPr>
        <w:spacing w:after="120"/>
      </w:pPr>
      <w:r>
        <w:t xml:space="preserve">Las flechas continuas son dependencias de datos: la tarea destino lee un resultado que produce la tarea origen. La flecha discontinua T8 → T12 no es una dependencia de datos, sino de orden: el mapa del campo debe escribirse en pantalla después del del potencial. La cadena de caracteres de |E| (T11) se puede preparar antes; solo su escritura tiene que esperar.</w:t>
      </w:r>
    </w:p>
    <w:p>
      <w:pPr>
        <w:pStyle w:val="Heading2"/>
      </w:pPr>
      <w:r>
        <w:t xml:space="preserve">4.3 Paralelismo de datos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T3 y T4: el valor de cada punto de la malla depende solo de sus coordenadas y de las cargas, no de otros puntos. No hay dependencias entre iteraciones de los bucles en x e y, así que la malla se puede repartir por filas o por bloques entre hebras, procesos o hilos de GPU sin cambiar el resultado.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bucle interior sobre las cargas es una reducción (suma). También se puede repartir, pero exige combinar sumas parciales, y el orden de las sumas en coma flotante puede cambiar ligeramente el resultado.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T5 y T9 son reducciones (suma de valores absolutos) sobre toda la malla: paralelizables con sumas parciales por hebra.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T6/T7 y T10/T11: cada celda de la imagen reducida es independiente de las demás.</w:t>
      </w:r>
    </w:p>
    <w:p>
      <w:pPr>
        <w:pStyle w:val="Heading2"/>
      </w:pPr>
      <w:r>
        <w:t xml:space="preserve">4.4 Paralelismo funcional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T3 y T4 son operaciones distintas que solo dependen de T1 y T2: pueden ejecutarse a la vez. Es la oportunidad principal de paralelismo funcional, porque las dos tienen un coste parecido y concentran casi todo el tiempo de ejecución.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rama del potencial (T5 → T7) y la del campo (T9 → T11) son independientes entre sí; solo la escritura T12 debe esperar a T8.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Dentro de cada rama, la reducción (T5, T9) y el promedio de bloques (T6, T10) son independientes y pueden solaparse.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Segmentación (pipeline): T5 y T6 no necesitan la malla completa. Podrían ir procesando bloques de filas de V a medida que T3 los produce, igual que T9 y T10 con las filas de |E|.</w:t>
      </w:r>
    </w:p>
    <w:p>
      <w:pPr>
        <w:pStyle w:val="Heading2"/>
      </w:pPr>
      <w:r>
        <w:t xml:space="preserve">4.5 Camino crítico y ganancia máxima por paralelismo funcional</w:t>
      </w:r>
    </w:p>
    <w:p>
      <w:pPr>
        <w:spacing w:after="120"/>
      </w:pPr>
      <w:r>
        <w:t xml:space="preserve">El camino crítico es T1 → T2 → T4 → T10 → T11 → T12, porque T4 es la tarea más costosa. Con los tiempos medidos en el equipo de desarrollo para el caso de referencia (T3 ≈ 2,90 s, T4 ≈ 3,56 s, resto despreciable), ejecutar T3 y T4 en paralelo daría como máximo:</w:t>
      </w:r>
    </w:p>
    <w:p>
      <w:pPr>
        <w:spacing w:after="120"/>
        <w:jc w:val="center"/>
      </w:pPr>
      <w:r>
        <w:rPr>
          <w:b/>
          <w:bCs/>
        </w:rPr>
        <w:t xml:space="preserve">S = (T3 + T4) / max(T3, T4) = 6,46 / 3,56 ≈ 1,81</w:t>
      </w:r>
    </w:p>
    <w:p>
      <w:pPr>
        <w:spacing w:after="120"/>
      </w:pPr>
      <w:r>
        <w:t xml:space="preserve">El paralelismo funcional por sí solo está limitado por el número de tareas independientes (2) y por el desequilibrio entre ellas. Para aprovechar más núcleos hay que combinarlo con el paralelismo de datos dentro de T3 y T4.</w:t>
      </w:r>
    </w:p>
    <w:p>
      <w:pPr>
        <w:spacing w:after="120"/>
      </w:pPr>
      <w:r>
        <w:rPr>
          <w:i/>
          <w:iCs/>
          <w:color w:val="6B7785"/>
        </w:rPr>
        <w:t xml:space="preserve">[Actualizar con los tiempos medidos en el entorno de la asignatura (apartado 6) y con los tiempos de T1, T2 y T5–T12 cuando estén instrumentados.]</w:t>
      </w:r>
    </w:p>
    <w:p>
      <w:pPr>
        <w:pStyle w:val="Heading1"/>
      </w:pPr>
      <w:r>
        <w:t xml:space="preserve">5. Estudio de los datos y de los accesos a memoria</w:t>
      </w:r>
    </w:p>
    <w:p>
      <w:pPr>
        <w:spacing w:after="120"/>
      </w:pPr>
      <w:r>
        <w:rPr>
          <w:i/>
          <w:iCs/>
          <w:color w:val="6B7785"/>
        </w:rPr>
        <w:t xml:space="preserve">[Responsable: Persona A. Corresponde al apartado 2.2 del enunciado.]</w:t>
      </w:r>
    </w:p>
    <w:p>
      <w:pPr>
        <w:pStyle w:val="Heading2"/>
      </w:pPr>
      <w:r>
        <w:t xml:space="preserve">5.1 Estructuras de datos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000"/>
        <w:gridCol w:w="2626"/>
      </w:tblGrid>
      <w:tr>
        <w:trPr>
          <w:tblHeader/>
        </w:trPr>
        <w:tc>
          <w:tcPr>
            <w:tcW w:type="dxa" w:w="18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shd w:fill="E3E8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Estructura</w:t>
            </w:r>
          </w:p>
        </w:tc>
        <w:tc>
          <w:tcPr>
            <w:tcW w:type="dxa" w:w="26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shd w:fill="E3E8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Contenido y tamaño</w:t>
            </w:r>
          </w:p>
        </w:tc>
        <w:tc>
          <w:tcPr>
            <w:tcW w:type="dxa" w:w="20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shd w:fill="E3E8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Fases que la usan</w:t>
            </w:r>
          </w:p>
        </w:tc>
        <w:tc>
          <w:tcPr>
            <w:tcW w:type="dxa" w:w="26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shd w:fill="E3E8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Tipo de acceso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cargas</w:t>
            </w:r>
          </w:p>
        </w:tc>
        <w:tc>
          <w:tcPr>
            <w:tcW w:type="dxa" w:w="26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vector&lt;Carga&gt; {q, x, y}: 24 B · n (2,4 KB con n = 100)</w:t>
            </w:r>
          </w:p>
        </w:tc>
        <w:tc>
          <w:tcPr>
            <w:tcW w:type="dxa" w:w="20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T1 (escritura), T3, T4 (lectura)</w:t>
            </w:r>
          </w:p>
        </w:tc>
        <w:tc>
          <w:tcPr>
            <w:tcW w:type="dxa" w:w="26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[Lectura muy frecuente: una vez por punto de la malla]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</w:t>
            </w:r>
          </w:p>
        </w:tc>
        <w:tc>
          <w:tcPr>
            <w:tcW w:type="dxa" w:w="26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vector&lt;double&gt;: 8 B · ancho · alto (200 MB en el caso de referencia)</w:t>
            </w:r>
          </w:p>
        </w:tc>
        <w:tc>
          <w:tcPr>
            <w:tcW w:type="dxa" w:w="20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T2, T3 (escritura), T5, T6 (lectura)</w:t>
            </w:r>
          </w:p>
        </w:tc>
        <w:tc>
          <w:tcPr>
            <w:tcW w:type="dxa" w:w="26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[Escritura secuencial por filas]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26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vector&lt;double&gt;: 8 B · ancho · alto (200 MB)</w:t>
            </w:r>
          </w:p>
        </w:tc>
        <w:tc>
          <w:tcPr>
            <w:tcW w:type="dxa" w:w="20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T2, T4 (escritura), T9, T10 (lectura)</w:t>
            </w:r>
          </w:p>
        </w:tc>
        <w:tc>
          <w:tcPr>
            <w:tcW w:type="dxa" w:w="26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[Escritura secuencial por filas]</w:t>
            </w:r>
          </w:p>
        </w:tc>
      </w:tr>
      <w:tr>
        <w:trPr>
          <w:tblHeader w:val="off"/>
        </w:trPr>
        <w:tc>
          <w:tcPr>
            <w:tcW w:type="dxa" w:w="18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salida</w:t>
            </w:r>
          </w:p>
        </w:tc>
        <w:tc>
          <w:tcPr>
            <w:tcW w:type="dxa" w:w="26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 con la imagen ANSI (≈ 100 KB)</w:t>
            </w:r>
          </w:p>
        </w:tc>
        <w:tc>
          <w:tcPr>
            <w:tcW w:type="dxa" w:w="20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T7, T8 / T11, T12</w:t>
            </w:r>
          </w:p>
        </w:tc>
        <w:tc>
          <w:tcPr>
            <w:tcW w:type="dxa" w:w="26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[...]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sz w:val="18"/>
          <w:szCs w:val="18"/>
        </w:rPr>
        <w:t xml:space="preserve">Tabla 5.1. Estructuras de datos principales.</w:t>
      </w:r>
    </w:p>
    <w:p>
      <w:pPr>
        <w:pStyle w:val="Heading2"/>
      </w:pPr>
      <w:r>
        <w:t xml:space="preserve">5.2 Patrones de acceso y jerarquía de memoria</w:t>
      </w:r>
    </w:p>
    <w:p>
      <w:pPr>
        <w:spacing w:after="120"/>
      </w:pPr>
      <w:r>
        <w:rPr>
          <w:i/>
          <w:iCs/>
          <w:color w:val="6B7785"/>
        </w:rPr>
        <w:t xml:space="preserve">[Puntos a desarrollar:]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6B7785"/>
        </w:rPr>
        <w:t xml:space="preserve">El array de cargas cabe entero en la caché L1 y se reutiliza para cada punto: el cálculo está limitado por cómputo (sqrt, división), no por memoria.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6B7785"/>
        </w:rPr>
        <w:t xml:space="preserve">V y E se escriben una sola vez y de forma secuencial; son demasiado grandes para la caché, pero el patrón favorece la prebúsqueda.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6B7785"/>
        </w:rPr>
        <w:t xml:space="preserve">T5/T6 y T9/T10 vuelven a recorrer toda la malla: se cargan desde memoria principal otra vez. Fusionarlas con el cálculo (calcular la suma y los bloques mientras se escribe la malla) evitaría ese segundo recorrido.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6B7785"/>
        </w:rPr>
        <w:t xml:space="preserve">La inicialización a cero de T2 toca toda la memoria antes del cálculo (primer acceso a las páginas).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6B7785"/>
        </w:rPr>
        <w:t xml:space="preserve">El promedio de bloques recorre la malla por bloques cuadrados, saltando entre filas.</w:t>
      </w:r>
    </w:p>
    <w:p>
      <w:pPr>
        <w:pStyle w:val="Heading2"/>
      </w:pPr>
      <w:r>
        <w:t xml:space="preserve">5.3 Reorganizaciones que favorecerían una versión paralela</w:t>
      </w:r>
    </w:p>
    <w:p>
      <w:pPr>
        <w:spacing w:after="120"/>
      </w:pPr>
      <w:r>
        <w:rPr>
          <w:i/>
          <w:iCs/>
          <w:color w:val="6B7785"/>
        </w:rPr>
        <w:t xml:space="preserve">[Puntos a desarrollar:]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6B7785"/>
        </w:rPr>
        <w:t xml:space="preserve">Array de estructuras (AoS) frente a estructura de arrays (SoA) para las cargas: SoA (q[], x[], y[] separados) facilita la vectorización.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6B7785"/>
        </w:rPr>
        <w:t xml:space="preserve">Calcular V y E en el mismo bucle comparte el cálculo de dx, dy y r (menos trabajo), pero elimina el paralelismo funcional entre T3 y T4: comentar el compromiso.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6B7785"/>
        </w:rPr>
        <w:t xml:space="preserve">No reservar mallas completas si solo se necesita la imagen reducida (ahorro de memoria).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6B7785"/>
        </w:rPr>
        <w:t xml:space="preserve">Reparto por filas entre hebras: false sharing en los bordes entre bloques; conviene repartir bloques de filas grandes.</w:t>
      </w:r>
    </w:p>
    <w:p>
      <w:pPr>
        <w:pStyle w:val="Heading1"/>
      </w:pPr>
      <w:r>
        <w:t xml:space="preserve">6. Metodología de medición y rendimiento secuencial</w:t>
      </w:r>
    </w:p>
    <w:p>
      <w:pPr>
        <w:spacing w:after="120"/>
      </w:pPr>
      <w:r>
        <w:rPr>
          <w:i/>
          <w:iCs/>
          <w:color w:val="6B7785"/>
        </w:rPr>
        <w:t xml:space="preserve">[Responsable: Persona B. Corresponde al apartado 2.3 del enunciado.]</w:t>
      </w:r>
    </w:p>
    <w:p>
      <w:pPr>
        <w:pStyle w:val="Heading2"/>
      </w:pPr>
      <w:r>
        <w:t xml:space="preserve">6.1 Entorno de medición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shd w:fill="E3E8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Elemento</w:t>
            </w:r>
          </w:p>
        </w:tc>
        <w:tc>
          <w:tcPr>
            <w:tcW w:type="dxa" w:w="60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shd w:fill="E3E8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Procesador</w:t>
            </w:r>
          </w:p>
        </w:tc>
        <w:tc>
          <w:tcPr>
            <w:tcW w:type="dxa" w:w="60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[modelo, núcleos, frecuencia]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Cachés</w:t>
            </w:r>
          </w:p>
        </w:tc>
        <w:tc>
          <w:tcPr>
            <w:tcW w:type="dxa" w:w="60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[L1, L2, L3]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Memoria</w:t>
            </w:r>
          </w:p>
        </w:tc>
        <w:tc>
          <w:tcPr>
            <w:tcW w:type="dxa" w:w="60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[capacidad]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Sistema operativo</w:t>
            </w:r>
          </w:p>
        </w:tc>
        <w:tc>
          <w:tcPr>
            <w:tcW w:type="dxa" w:w="60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[distribución y versión del núcleo]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Compilador</w:t>
            </w:r>
          </w:p>
        </w:tc>
        <w:tc>
          <w:tcPr>
            <w:tcW w:type="dxa" w:w="60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[g++ --version]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sz w:val="18"/>
          <w:szCs w:val="18"/>
        </w:rPr>
        <w:t xml:space="preserve">Tabla 6.1. Entorno de medición (el entorno Linux de la asignatura).</w:t>
      </w:r>
    </w:p>
    <w:p>
      <w:pPr>
        <w:pStyle w:val="Heading2"/>
      </w:pPr>
      <w:r>
        <w:t xml:space="preserve">6.2 Metodología</w:t>
      </w:r>
    </w:p>
    <w:p>
      <w:pPr>
        <w:spacing w:after="120"/>
      </w:pPr>
      <w:r>
        <w:rPr>
          <w:i/>
          <w:iCs/>
          <w:color w:val="6B7785"/>
        </w:rPr>
        <w:t xml:space="preserve">[Número de repeticiones por medida, cómo se agregan (media, mediana, desviación), qué se mide (solo el cálculo, con std::chrono en el propio programa), condiciones (máquina sin otra carga, mismo binario) y el script utilizado.]</w:t>
      </w:r>
    </w:p>
    <w:p>
      <w:pPr>
        <w:pStyle w:val="Heading2"/>
      </w:pPr>
      <w:r>
        <w:t xml:space="preserve">6.3 Serie A: escalado con el tamaño de la región (100 cargas)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1726"/>
      </w:tblGrid>
      <w:tr>
        <w:trPr>
          <w:tblHeader/>
        </w:trPr>
        <w:tc>
          <w:tcPr>
            <w:tcW w:type="dxa" w:w="22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shd w:fill="E3E8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Región (µm)</w:t>
            </w:r>
          </w:p>
        </w:tc>
        <w:tc>
          <w:tcPr>
            <w:tcW w:type="dxa" w:w="1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shd w:fill="E3E8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Evaluaciones por magnitud</w:t>
            </w:r>
          </w:p>
        </w:tc>
        <w:tc>
          <w:tcPr>
            <w:tcW w:type="dxa" w:w="1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shd w:fill="E3E8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Potencial (s)</w:t>
            </w:r>
          </w:p>
        </w:tc>
        <w:tc>
          <w:tcPr>
            <w:tcW w:type="dxa" w:w="1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shd w:fill="E3E8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Campo (s)</w:t>
            </w:r>
          </w:p>
        </w:tc>
        <w:tc>
          <w:tcPr>
            <w:tcW w:type="dxa" w:w="17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shd w:fill="E3E8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Total (s)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2000 × 2000</w:t>
            </w:r>
          </w:p>
        </w:tc>
        <w:tc>
          <w:tcPr>
            <w:tcW w:type="dxa" w:w="1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4,0 · 10⁸</w:t>
            </w:r>
          </w:p>
        </w:tc>
        <w:tc>
          <w:tcPr>
            <w:tcW w:type="dxa" w:w="1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3000 × 3000</w:t>
            </w:r>
          </w:p>
        </w:tc>
        <w:tc>
          <w:tcPr>
            <w:tcW w:type="dxa" w:w="1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9,0 · 10⁸</w:t>
            </w:r>
          </w:p>
        </w:tc>
        <w:tc>
          <w:tcPr>
            <w:tcW w:type="dxa" w:w="1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5000 × 5000</w:t>
            </w:r>
          </w:p>
        </w:tc>
        <w:tc>
          <w:tcPr>
            <w:tcW w:type="dxa" w:w="1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2,5 · 10⁹</w:t>
            </w:r>
          </w:p>
        </w:tc>
        <w:tc>
          <w:tcPr>
            <w:tcW w:type="dxa" w:w="1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7000 × 7000</w:t>
            </w:r>
          </w:p>
        </w:tc>
        <w:tc>
          <w:tcPr>
            <w:tcW w:type="dxa" w:w="1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4,9 · 10⁹</w:t>
            </w:r>
          </w:p>
        </w:tc>
        <w:tc>
          <w:tcPr>
            <w:tcW w:type="dxa" w:w="1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9000 × 9000</w:t>
            </w:r>
          </w:p>
        </w:tc>
        <w:tc>
          <w:tcPr>
            <w:tcW w:type="dxa" w:w="1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8,1 · 10⁹</w:t>
            </w:r>
          </w:p>
        </w:tc>
        <w:tc>
          <w:tcPr>
            <w:tcW w:type="dxa" w:w="1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11000 × 11000</w:t>
            </w:r>
          </w:p>
        </w:tc>
        <w:tc>
          <w:tcPr>
            <w:tcW w:type="dxa" w:w="1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1,21 · 10¹⁰</w:t>
            </w:r>
          </w:p>
        </w:tc>
        <w:tc>
          <w:tcPr>
            <w:tcW w:type="dxa" w:w="1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240" w:before="60"/>
        <w:jc w:val="center"/>
      </w:pPr>
      <w:r>
        <w:rPr>
          <w:i/>
          <w:iCs/>
          <w:sz w:val="18"/>
          <w:szCs w:val="18"/>
        </w:rPr>
        <w:t xml:space="preserve">Tabla 6.2. Tiempos de la serie A.</w:t>
      </w:r>
    </w:p>
    <w:p>
      <w:pPr>
        <w:spacing w:after="120"/>
      </w:pPr>
      <w:r>
        <w:rPr>
          <w:i/>
          <w:iCs/>
          <w:color w:val="6B7785"/>
        </w:rPr>
        <w:t xml:space="preserve">[Gráfica: tiempo frente a ancho · alto.]</w:t>
      </w:r>
    </w:p>
    <w:p>
      <w:pPr>
        <w:pStyle w:val="Heading2"/>
      </w:pPr>
      <w:r>
        <w:t xml:space="preserve">6.4 Serie B: escalado con el número de cargas (4000 × 4000 µm)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1726"/>
      </w:tblGrid>
      <w:tr>
        <w:trPr>
          <w:tblHeader/>
        </w:trPr>
        <w:tc>
          <w:tcPr>
            <w:tcW w:type="dxa" w:w="22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shd w:fill="E3E8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Cargas</w:t>
            </w:r>
          </w:p>
        </w:tc>
        <w:tc>
          <w:tcPr>
            <w:tcW w:type="dxa" w:w="1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shd w:fill="E3E8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Evaluaciones por magnitud</w:t>
            </w:r>
          </w:p>
        </w:tc>
        <w:tc>
          <w:tcPr>
            <w:tcW w:type="dxa" w:w="1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shd w:fill="E3E8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Potencial (s)</w:t>
            </w:r>
          </w:p>
        </w:tc>
        <w:tc>
          <w:tcPr>
            <w:tcW w:type="dxa" w:w="1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shd w:fill="E3E8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Campo (s)</w:t>
            </w:r>
          </w:p>
        </w:tc>
        <w:tc>
          <w:tcPr>
            <w:tcW w:type="dxa" w:w="17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shd w:fill="E3E8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Total (s)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8,0 · 10⁸</w:t>
            </w:r>
          </w:p>
        </w:tc>
        <w:tc>
          <w:tcPr>
            <w:tcW w:type="dxa" w:w="1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1,6 · 10⁹</w:t>
            </w:r>
          </w:p>
        </w:tc>
        <w:tc>
          <w:tcPr>
            <w:tcW w:type="dxa" w:w="1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3,2 · 10⁹</w:t>
            </w:r>
          </w:p>
        </w:tc>
        <w:tc>
          <w:tcPr>
            <w:tcW w:type="dxa" w:w="1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1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6,4 · 10⁹</w:t>
            </w:r>
          </w:p>
        </w:tc>
        <w:tc>
          <w:tcPr>
            <w:tcW w:type="dxa" w:w="1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240" w:before="60"/>
        <w:jc w:val="center"/>
      </w:pPr>
      <w:r>
        <w:rPr>
          <w:i/>
          <w:iCs/>
          <w:sz w:val="18"/>
          <w:szCs w:val="18"/>
        </w:rPr>
        <w:t xml:space="preserve">Tabla 6.3. Tiempos de la serie B.</w:t>
      </w:r>
    </w:p>
    <w:p>
      <w:pPr>
        <w:spacing w:after="120"/>
      </w:pPr>
      <w:r>
        <w:rPr>
          <w:i/>
          <w:iCs/>
          <w:color w:val="6B7785"/>
        </w:rPr>
        <w:t xml:space="preserve">[Gráfica: tiempo frente a número de cargas.]</w:t>
      </w:r>
    </w:p>
    <w:p>
      <w:pPr>
        <w:pStyle w:val="Heading2"/>
      </w:pPr>
      <w:r>
        <w:t xml:space="preserve">6.5 Análisis de las tendencias</w:t>
      </w:r>
    </w:p>
    <w:p>
      <w:pPr>
        <w:spacing w:after="120"/>
      </w:pPr>
      <w:r>
        <w:rPr>
          <w:i/>
          <w:iCs/>
          <w:color w:val="6B7785"/>
        </w:rPr>
        <w:t xml:space="preserve">[¿El tiempo escala linealmente con el número de evaluaciones? Tiempo por evaluación de cada magnitud y por qué el campo es más caro. ¿Se nota algún efecto de la memoria en los casos grandes? Reparto del tiempo entre fases (instrumentación).]</w:t>
      </w:r>
    </w:p>
    <w:p>
      <w:pPr>
        <w:pStyle w:val="Heading1"/>
      </w:pPr>
      <w:r>
        <w:t xml:space="preserve">7. Opciones de compilación y autovectorización</w:t>
      </w:r>
    </w:p>
    <w:p>
      <w:pPr>
        <w:spacing w:after="120"/>
      </w:pPr>
      <w:r>
        <w:rPr>
          <w:i/>
          <w:iCs/>
          <w:color w:val="6B7785"/>
        </w:rPr>
        <w:t xml:space="preserve">[Responsable: Persona B. Corresponde a los apartados 2.4, 2.5 y 2.6 del enunciado.]</w:t>
      </w:r>
    </w:p>
    <w:p>
      <w:pPr>
        <w:pStyle w:val="Heading2"/>
      </w:pPr>
      <w:r>
        <w:t xml:space="preserve">7.1 Opciones probadas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1900"/>
        <w:gridCol w:w="1626"/>
      </w:tblGrid>
      <w:tr>
        <w:trPr>
          <w:tblHeader/>
        </w:trPr>
        <w:tc>
          <w:tcPr>
            <w:tcW w:type="dxa" w:w="23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shd w:fill="E3E8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Configuración</w:t>
            </w:r>
          </w:p>
        </w:tc>
        <w:tc>
          <w:tcPr>
            <w:tcW w:type="dxa" w:w="32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shd w:fill="E3E8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Qué hace</w:t>
            </w:r>
          </w:p>
        </w:tc>
        <w:tc>
          <w:tcPr>
            <w:tcW w:type="dxa" w:w="19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shd w:fill="E3E8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Tiempo (s)</w:t>
            </w:r>
          </w:p>
        </w:tc>
        <w:tc>
          <w:tcPr>
            <w:tcW w:type="dxa" w:w="16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shd w:fill="E3E8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Ganancia vs -O2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-O0</w:t>
            </w:r>
          </w:p>
        </w:tc>
        <w:tc>
          <w:tcPr>
            <w:tcW w:type="dxa" w:w="32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[...]</w:t>
            </w:r>
          </w:p>
        </w:tc>
        <w:tc>
          <w:tcPr>
            <w:tcW w:type="dxa" w:w="19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-O1</w:t>
            </w:r>
          </w:p>
        </w:tc>
        <w:tc>
          <w:tcPr>
            <w:tcW w:type="dxa" w:w="32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[...]</w:t>
            </w:r>
          </w:p>
        </w:tc>
        <w:tc>
          <w:tcPr>
            <w:tcW w:type="dxa" w:w="19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-O2 (referencia)</w:t>
            </w:r>
          </w:p>
        </w:tc>
        <w:tc>
          <w:tcPr>
            <w:tcW w:type="dxa" w:w="32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[...]</w:t>
            </w:r>
          </w:p>
        </w:tc>
        <w:tc>
          <w:tcPr>
            <w:tcW w:type="dxa" w:w="19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1,00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-O3</w:t>
            </w:r>
          </w:p>
        </w:tc>
        <w:tc>
          <w:tcPr>
            <w:tcW w:type="dxa" w:w="32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[...]</w:t>
            </w:r>
          </w:p>
        </w:tc>
        <w:tc>
          <w:tcPr>
            <w:tcW w:type="dxa" w:w="19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-O3 -march=native</w:t>
            </w:r>
          </w:p>
        </w:tc>
        <w:tc>
          <w:tcPr>
            <w:tcW w:type="dxa" w:w="32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[...]</w:t>
            </w:r>
          </w:p>
        </w:tc>
        <w:tc>
          <w:tcPr>
            <w:tcW w:type="dxa" w:w="19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-O3 -march=native -ffast-math</w:t>
            </w:r>
          </w:p>
        </w:tc>
        <w:tc>
          <w:tcPr>
            <w:tcW w:type="dxa" w:w="32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[...]</w:t>
            </w:r>
          </w:p>
        </w:tc>
        <w:tc>
          <w:tcPr>
            <w:tcW w:type="dxa" w:w="19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[-funroll-loops, -flto, ...]</w:t>
            </w:r>
          </w:p>
        </w:tc>
        <w:tc>
          <w:tcPr>
            <w:tcW w:type="dxa" w:w="32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[...]</w:t>
            </w:r>
          </w:p>
        </w:tc>
        <w:tc>
          <w:tcPr>
            <w:tcW w:type="dxa" w:w="19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240" w:before="60"/>
        <w:jc w:val="center"/>
      </w:pPr>
      <w:r>
        <w:rPr>
          <w:i/>
          <w:iCs/>
          <w:sz w:val="18"/>
          <w:szCs w:val="18"/>
        </w:rPr>
        <w:t xml:space="preserve">Tabla 7.1. Configuraciones de compilación con el caso de referencia.</w:t>
      </w:r>
    </w:p>
    <w:p>
      <w:pPr>
        <w:spacing w:after="120"/>
      </w:pPr>
      <w:r>
        <w:rPr>
          <w:i/>
          <w:iCs/>
          <w:color w:val="6B7785"/>
        </w:rPr>
        <w:t xml:space="preserve">[Indicar el comando de compilación exacto de cada configuración, p. ej.: make clean &amp;&amp; make CXXFLAGS="-O3 -march=native"]</w:t>
      </w:r>
    </w:p>
    <w:p>
      <w:pPr>
        <w:pStyle w:val="Heading2"/>
      </w:pPr>
      <w:r>
        <w:t xml:space="preserve">7.2 Comparación de configuraciones</w:t>
      </w:r>
    </w:p>
    <w:p>
      <w:pPr>
        <w:spacing w:after="120"/>
      </w:pPr>
      <w:r>
        <w:rPr>
          <w:i/>
          <w:iCs/>
          <w:color w:val="6B7785"/>
        </w:rPr>
        <w:t xml:space="preserve">[Gráfica de barras de tiempos y ganancias respecto a -O2. Explicar por qué unas configuraciones son mejores: vectorización, instrucciones específicas del procesador (AVX, FMA), -ffast-math y la asociatividad de las sumas, uso de la caché.]</w:t>
      </w:r>
    </w:p>
    <w:p>
      <w:pPr>
        <w:pStyle w:val="Heading2"/>
      </w:pPr>
      <w:r>
        <w:t xml:space="preserve">7.3 Evidencias de autovectorización</w:t>
      </w:r>
    </w:p>
    <w:p>
      <w:pPr>
        <w:spacing w:after="120"/>
      </w:pPr>
      <w:r>
        <w:rPr>
          <w:i/>
          <w:iCs/>
          <w:color w:val="6B7785"/>
        </w:rPr>
        <w:t xml:space="preserve">[Informe del compilador (-fopt-info-vec-optimized / -fopt-info-vec-missed) indicando qué bucles se vectorizan y cuáles no, y por qué. Fragmento de ensamblador (g++ -S o objdump -d) del bucle interior de calcular_potencial / calcular_campo con instrucciones SIMD (vsqrtpd, vdivpd, registros ymm/zmm).]</w:t>
      </w:r>
    </w:p>
    <w:p>
      <w:pPr>
        <w:pStyle w:val="Heading2"/>
      </w:pPr>
      <w:r>
        <w:t xml:space="preserve">7.4 Interpretación del rendimiento</w:t>
      </w:r>
    </w:p>
    <w:p>
      <w:pPr>
        <w:spacing w:after="120"/>
      </w:pPr>
      <w:r>
        <w:rPr>
          <w:i/>
          <w:iCs/>
          <w:color w:val="6B7785"/>
        </w:rPr>
        <w:t xml:space="preserve">[Juntar los resultados: cómo afectan el tamaño del problema y las opciones de compilación. Qué limita el tiempo de ejecución (sqrt y división en los bucles interiores). Distinguir entre las mejoras medidas en la versión secuencial y las ganancias paralelas estimadas, que aún no se han medido.]</w:t>
      </w:r>
    </w:p>
    <w:p>
      <w:pPr>
        <w:pStyle w:val="Heading1"/>
      </w:pPr>
      <w:r>
        <w:t xml:space="preserve">8. Justificación como candidata a la paralelización</w:t>
      </w:r>
    </w:p>
    <w:p>
      <w:pPr>
        <w:spacing w:after="120"/>
      </w:pPr>
      <w:r>
        <w:rPr>
          <w:i/>
          <w:iCs/>
          <w:color w:val="6B7785"/>
        </w:rPr>
        <w:t xml:space="preserve">[Responsable: Persona A]</w:t>
      </w:r>
    </w:p>
    <w:p>
      <w:pPr>
        <w:spacing w:after="120"/>
      </w:pPr>
      <w:r>
        <w:rPr>
          <w:i/>
          <w:iCs/>
          <w:color w:val="6B7785"/>
        </w:rPr>
        <w:t xml:space="preserve">[Argumentos: coste O(ancho · alto · n) con tiempos de segundos a decenas de segundos; casi todo el tiempo en dos núcleos de cálculo sin dependencias entre puntos; paralelismo de datos masivo y paralelismo funcional entre V y E; datos de solo lectura pequeños (cargas); poca comunicación. Dificultades: reducciones, equilibrio de carga entre V y E, memoria de las mallas en los casos grandes y la parte secuencial de E/S.]</w:t>
      </w:r>
    </w:p>
    <w:p>
      <w:pPr>
        <w:pStyle w:val="Heading1"/>
      </w:pPr>
      <w:r>
        <w:t xml:space="preserve">9. Propuesta de arquitecturas paralelas</w:t>
      </w:r>
    </w:p>
    <w:p>
      <w:pPr>
        <w:spacing w:after="120"/>
      </w:pPr>
      <w:r>
        <w:rPr>
          <w:i/>
          <w:iCs/>
          <w:color w:val="6B7785"/>
        </w:rPr>
        <w:t xml:space="preserve">[Responsable: Persona A. Para cada arquitectura: cómo se repartiría el trabajo, ventajas, dificultades y ganancia esperada.]</w:t>
      </w:r>
    </w:p>
    <w:p>
      <w:pPr>
        <w:pStyle w:val="Heading2"/>
      </w:pPr>
      <w:r>
        <w:t xml:space="preserve">9.1 Procesador multinúcleo (memoria compartida)</w:t>
      </w:r>
    </w:p>
    <w:p>
      <w:pPr>
        <w:spacing w:after="120"/>
      </w:pPr>
      <w:r>
        <w:rPr>
          <w:i/>
          <w:iCs/>
          <w:color w:val="6B7785"/>
        </w:rPr>
        <w:t xml:space="preserve">[OpenMP o hebras: reparto de filas de la malla; V y E como tareas (sections/tasks); reducciones de V_ref y E_ref; sin comunicación explícita.]</w:t>
      </w:r>
    </w:p>
    <w:p>
      <w:pPr>
        <w:pStyle w:val="Heading2"/>
      </w:pPr>
      <w:r>
        <w:t xml:space="preserve">9.2 GPU</w:t>
      </w:r>
    </w:p>
    <w:p>
      <w:pPr>
        <w:spacing w:after="120"/>
      </w:pPr>
      <w:r>
        <w:rPr>
          <w:i/>
          <w:iCs/>
          <w:color w:val="6B7785"/>
        </w:rPr>
        <w:t xml:space="preserve">[Un hilo por punto de la malla; cargas en memoria constante o compartida; muy adecuada por el paralelismo masivo y la alta intensidad aritmética. Dificultades: transferencia de las mallas al host, doble precisión en GPUs de consumo.]</w:t>
      </w:r>
    </w:p>
    <w:p>
      <w:pPr>
        <w:pStyle w:val="Heading2"/>
      </w:pPr>
      <w:r>
        <w:t xml:space="preserve">9.3 Clúster (memoria distribuida)</w:t>
      </w:r>
    </w:p>
    <w:p>
      <w:pPr>
        <w:spacing w:after="120"/>
      </w:pPr>
      <w:r>
        <w:rPr>
          <w:i/>
          <w:iCs/>
          <w:color w:val="6B7785"/>
        </w:rPr>
        <w:t xml:space="preserve">[MPI: cada nodo calcula un bloque de filas; solo hay que difundir las cargas al inicio y recoger los resultados (o solo la imagen reducida). Poca comunicación en relación con el cálculo.]</w:t>
      </w:r>
    </w:p>
    <w:p>
      <w:pPr>
        <w:pStyle w:val="Heading2"/>
      </w:pPr>
      <w:r>
        <w:t xml:space="preserve">9.4 Sistema heterogéneo</w:t>
      </w:r>
    </w:p>
    <w:p>
      <w:pPr>
        <w:spacing w:after="120"/>
      </w:pPr>
      <w:r>
        <w:rPr>
          <w:i/>
          <w:iCs/>
          <w:color w:val="6B7785"/>
        </w:rPr>
        <w:t xml:space="preserve">[P. ej. V en GPU y E en CPU a la vez (paralelismo funcional entre dispositivos), o repartir filas según la velocidad de cada dispositivo.]</w:t>
      </w:r>
    </w:p>
    <w:p>
      <w:pPr>
        <w:pStyle w:val="Heading2"/>
      </w:pPr>
      <w:r>
        <w:t xml:space="preserve">9.5 Ganancia y eficiencia esperadas</w:t>
      </w:r>
    </w:p>
    <w:p>
      <w:pPr>
        <w:spacing w:after="120"/>
      </w:pPr>
      <w:r>
        <w:rPr>
          <w:i/>
          <w:iCs/>
          <w:color w:val="6B7785"/>
        </w:rPr>
        <w:t xml:space="preserve">[Ley de Amdahl con la fracción secuencial medida (lectura, reserva, dibujo). Estimación de ganancia y eficiencia para p = 2, 4, 8, ... núcleos. Recordar que son estimaciones, no medidas.]</w:t>
      </w:r>
    </w:p>
    <w:p>
      <w:pPr>
        <w:pStyle w:val="Heading1"/>
      </w:pPr>
      <w:r>
        <w:t xml:space="preserve">10. Resolución de los problemas de la Tarea 3</w:t>
      </w:r>
    </w:p>
    <w:p>
      <w:pPr>
        <w:spacing w:after="120"/>
      </w:pPr>
      <w:r>
        <w:rPr>
          <w:i/>
          <w:iCs/>
          <w:color w:val="6B7785"/>
        </w:rPr>
        <w:t xml:space="preserve">[Responsable: Persona A]</w:t>
      </w:r>
    </w:p>
    <w:p>
      <w:pPr>
        <w:spacing w:after="120"/>
      </w:pPr>
      <w:r>
        <w:t xml:space="preserve">Expresiones empleadas (caudal constante; los caudales se suman al abrir los grifos a la vez):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Caudal del grifo i: cᵢ = 1 / tᵢ (depósitos por hora).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Tiempo con varios grifos: T = 1 / Σ cᵢ.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Ganancia respecto al grifo más rápido disponible: S = t_min / 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Eficiencia con p grifos: E = S / 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2000"/>
        <w:gridCol w:w="2000"/>
        <w:gridCol w:w="2000"/>
      </w:tblGrid>
      <w:tr>
        <w:trPr>
          <w:tblHeader/>
        </w:trPr>
        <w:tc>
          <w:tcPr>
            <w:tcW w:type="dxa" w:w="30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shd w:fill="E3E8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Problema</w:t>
            </w:r>
          </w:p>
        </w:tc>
        <w:tc>
          <w:tcPr>
            <w:tcW w:type="dxa" w:w="20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shd w:fill="E3E8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Tiempo T (h)</w:t>
            </w:r>
          </w:p>
        </w:tc>
        <w:tc>
          <w:tcPr>
            <w:tcW w:type="dxa" w:w="20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shd w:fill="E3E8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Ganancia S</w:t>
            </w:r>
          </w:p>
        </w:tc>
        <w:tc>
          <w:tcPr>
            <w:tcW w:type="dxa" w:w="20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shd w:fill="E3E8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Eficiencia E</w:t>
            </w:r>
          </w:p>
        </w:tc>
      </w:tr>
      <w:tr>
        <w:trPr>
          <w:tblHeader w:val="off"/>
        </w:trPr>
        <w:tc>
          <w:tcPr>
            <w:tcW w:type="dxa" w:w="30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Grifos de 8 h y 40 h</w:t>
            </w:r>
          </w:p>
        </w:tc>
        <w:tc>
          <w:tcPr>
            <w:tcW w:type="dxa" w:w="20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0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 Dos grifos de 8 h</w:t>
            </w:r>
          </w:p>
        </w:tc>
        <w:tc>
          <w:tcPr>
            <w:tcW w:type="dxa" w:w="20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0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 Dos grifos de 40 h</w:t>
            </w:r>
          </w:p>
        </w:tc>
        <w:tc>
          <w:tcPr>
            <w:tcW w:type="dxa" w:w="20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3026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 Un grifo de 8 h y dos de 40 h</w:t>
            </w:r>
          </w:p>
        </w:tc>
        <w:tc>
          <w:tcPr>
            <w:tcW w:type="dxa" w:w="20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240" w:before="60"/>
        <w:jc w:val="center"/>
      </w:pPr>
      <w:r>
        <w:rPr>
          <w:i/>
          <w:iCs/>
          <w:sz w:val="18"/>
          <w:szCs w:val="18"/>
        </w:rPr>
        <w:t xml:space="preserve">Tabla 10.1. Resultados de los problemas de los grifos.</w:t>
      </w:r>
    </w:p>
    <w:p>
      <w:pPr>
        <w:pStyle w:val="Heading2"/>
      </w:pPr>
      <w:r>
        <w:t xml:space="preserve">10.1 Problema 1</w:t>
      </w:r>
    </w:p>
    <w:p>
      <w:pPr>
        <w:spacing w:after="120"/>
      </w:pPr>
      <w:r>
        <w:rPr>
          <w:i/>
          <w:iCs/>
          <w:color w:val="6B7785"/>
        </w:rPr>
        <w:t xml:space="preserve">[Cálculos y explicación.]</w:t>
      </w:r>
    </w:p>
    <w:p>
      <w:pPr>
        <w:pStyle w:val="Heading2"/>
      </w:pPr>
      <w:r>
        <w:t xml:space="preserve">10.2 Problema 2</w:t>
      </w:r>
    </w:p>
    <w:p>
      <w:pPr>
        <w:spacing w:after="120"/>
      </w:pPr>
      <w:r>
        <w:rPr>
          <w:i/>
          <w:iCs/>
          <w:color w:val="6B7785"/>
        </w:rPr>
        <w:t xml:space="preserve">[Cálculos y explicación.]</w:t>
      </w:r>
    </w:p>
    <w:p>
      <w:pPr>
        <w:pStyle w:val="Heading2"/>
      </w:pPr>
      <w:r>
        <w:t xml:space="preserve">10.3 Problema 3</w:t>
      </w:r>
    </w:p>
    <w:p>
      <w:pPr>
        <w:spacing w:after="120"/>
      </w:pPr>
      <w:r>
        <w:rPr>
          <w:i/>
          <w:iCs/>
          <w:color w:val="6B7785"/>
        </w:rPr>
        <w:t xml:space="preserve">[Cálculos y explicación.]</w:t>
      </w:r>
    </w:p>
    <w:p>
      <w:pPr>
        <w:pStyle w:val="Heading2"/>
      </w:pPr>
      <w:r>
        <w:t xml:space="preserve">10.4 Problema 4</w:t>
      </w:r>
    </w:p>
    <w:p>
      <w:pPr>
        <w:spacing w:after="120"/>
      </w:pPr>
      <w:r>
        <w:rPr>
          <w:i/>
          <w:iCs/>
          <w:color w:val="6B7785"/>
        </w:rPr>
        <w:t xml:space="preserve">[Cálculos y explicación.]</w:t>
      </w:r>
    </w:p>
    <w:p>
      <w:pPr>
        <w:pStyle w:val="Heading2"/>
      </w:pPr>
      <w:r>
        <w:t xml:space="preserve">10.5 Discusión</w:t>
      </w:r>
    </w:p>
    <w:p>
      <w:pPr>
        <w:spacing w:after="120"/>
      </w:pPr>
      <w:r>
        <w:rPr>
          <w:i/>
          <w:iCs/>
          <w:color w:val="6B7785"/>
        </w:rPr>
        <w:t xml:space="preserve">[Relacionar con el paralelismo: añadir recursos lentos a uno rápido da poca eficiencia (sistemas heterogéneos, desequilibrio de carga como el de T3 frente a T4); recursos iguales dan eficiencia 1 en este modelo ideal sin sobrecostes.]</w:t>
      </w:r>
    </w:p>
    <w:p>
      <w:pPr>
        <w:pStyle w:val="Heading1"/>
      </w:pPr>
      <w:r>
        <w:t xml:space="preserve">11. Conclusiones y bibliografía</w:t>
      </w:r>
    </w:p>
    <w:p>
      <w:pPr>
        <w:spacing w:after="120"/>
      </w:pPr>
      <w:r>
        <w:rPr>
          <w:i/>
          <w:iCs/>
          <w:color w:val="6B7785"/>
        </w:rPr>
        <w:t xml:space="preserve">[Responsables: ambos]</w:t>
      </w:r>
    </w:p>
    <w:p>
      <w:pPr>
        <w:pStyle w:val="Heading2"/>
      </w:pPr>
      <w:r>
        <w:t xml:space="preserve">11.1 Conclusiones</w:t>
      </w:r>
    </w:p>
    <w:p>
      <w:pPr>
        <w:spacing w:after="120"/>
      </w:pPr>
      <w:r>
        <w:rPr>
          <w:i/>
          <w:iCs/>
          <w:color w:val="6B7785"/>
        </w:rPr>
        <w:t xml:space="preserve">[Resumen de lo aprendido, resultados principales y próximos pasos para la versión paralela.]</w:t>
      </w:r>
    </w:p>
    <w:p>
      <w:pPr>
        <w:pStyle w:val="Heading2"/>
      </w:pPr>
      <w:r>
        <w:t xml:space="preserve">11.2 Bibliografía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Enunciado de la Práctica 2, Ingeniería de los Computadores, Universidad de Alicante, curso 2026-27.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GCC online documentation: Optimize Options y x86 Options. https://gcc.gnu.org/onlinedocs/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[Libro o apuntes de electromagnetismo para las fórmulas de V y E]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[Bibliografía de arquitectura de computadores / ley de Amdahl]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Anthropic, Claude Code (herramienta utilizada para generar el código; ver Anexo A).</w:t>
      </w:r>
    </w:p>
    <w:p>
      <w:pPr>
        <w:pStyle w:val="Heading1"/>
      </w:pPr>
      <w:r>
        <w:t xml:space="preserve">Anexo A. Uso de herramientas de IA</w:t>
      </w:r>
    </w:p>
    <w:p>
      <w:pPr>
        <w:spacing w:after="120"/>
      </w:pPr>
      <w:r>
        <w:rPr>
          <w:i/>
          <w:iCs/>
          <w:color w:val="6B7785"/>
        </w:rPr>
        <w:t xml:space="preserve">[Copiar o resumir prompts.txt: herramienta, modelo, fecha, prompts utilizados y qué aportó cada uno.]</w:t>
      </w:r>
    </w:p>
    <w:p>
      <w:pPr>
        <w:pStyle w:val="Heading1"/>
      </w:pPr>
      <w:r>
        <w:t xml:space="preserve">Anexo B. Reparto del trabajo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shd w:fill="E3E8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Persona A: análisis y propuesta</w:t>
            </w:r>
          </w:p>
        </w:tc>
        <w:tc>
          <w:tcPr>
            <w:tcW w:type="dxa" w:w="4513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shd w:fill="E3E8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Persona B: rendimiento y compilación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Apartados 1–5, 8, 9 y 10</w:t>
            </w:r>
          </w:p>
        </w:tc>
        <w:tc>
          <w:tcPr>
            <w:tcW w:type="dxa" w:w="4513"/>
            <w:tcBorders>
              <w:top w:val="single" w:color="A0A8B0" w:sz="4"/>
              <w:left w:val="single" w:color="A0A8B0" w:sz="4"/>
              <w:bottom w:val="single" w:color="A0A8B0" w:sz="4"/>
              <w:right w:val="single" w:color="A0A8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Instrumentación por fases, apartados 6 y 7, scripts de medición y gráficas</w:t>
            </w:r>
          </w:p>
        </w:tc>
      </w:tr>
    </w:tbl>
    <w:p/>
    <w:p>
      <w:pPr>
        <w:spacing w:after="120"/>
      </w:pPr>
      <w:r>
        <w:t xml:space="preserve">Conclusiones, bibliografía y revisión cruzada: ambos.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78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A6B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f26bf208baadcc58bb78226ca685183ffa8fb2c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 Práctica 2 - Campo eléctrico</dc:title>
  <dc:creator>IC_campo_electrico</dc:creator>
  <cp:lastModifiedBy>Un-named</cp:lastModifiedBy>
  <cp:revision>1</cp:revision>
  <dcterms:created xsi:type="dcterms:W3CDTF">2026-09-30T08:19:13.242Z</dcterms:created>
  <dcterms:modified xsi:type="dcterms:W3CDTF">2026-09-30T08:19:13.242Z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