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000" w:lineRule="auto"/>
        <w:jc w:val="center"/>
        <w:rPr>
          <w:b w:val="1"/>
          <w:bCs w:val="1"/>
          <w:color w:val="1a365d"/>
          <w:sz w:val="52"/>
          <w:szCs w:val="52"/>
        </w:rPr>
      </w:pPr>
      <w:r w:rsidDel="00000000" w:rsidR="00000000" w:rsidRPr="00000000">
        <w:rPr>
          <w:b w:val="1"/>
          <w:bCs w:val="1"/>
          <w:color w:val="1a365d"/>
          <w:sz w:val="52"/>
          <w:szCs w:val="52"/>
          <w:rtl w:val="0"/>
        </w:rPr>
        <w:t xml:space="preserve"> </w:t>
      </w:r>
    </w:p>
    <w:p w:rsidR="00000000" w:rsidDel="00000000" w:rsidP="00000000" w:rsidRDefault="00000000" w:rsidRPr="00000000" w14:paraId="00000002">
      <w:pPr>
        <w:spacing w:after="240" w:before="2000" w:lineRule="auto"/>
        <w:jc w:val="center"/>
        <w:rPr>
          <w:b w:val="1"/>
          <w:bCs w:val="1"/>
          <w:color w:val="1a365d"/>
          <w:sz w:val="52"/>
          <w:szCs w:val="52"/>
        </w:rPr>
      </w:pPr>
      <w:r w:rsidDel="00000000" w:rsidR="00000000" w:rsidRPr="00000000">
        <w:rPr>
          <w:b w:val="1"/>
          <w:bCs w:val="1"/>
          <w:color w:val="1a365d"/>
          <w:sz w:val="52"/>
          <w:szCs w:val="52"/>
          <w:rtl w:val="0"/>
        </w:rPr>
        <w:t xml:space="preserve">PROPUESTA TÉCNICA Y COMERCIAL</w:t>
      </w:r>
    </w:p>
    <w:p w:rsidR="00000000" w:rsidDel="00000000" w:rsidP="00000000" w:rsidRDefault="00000000" w:rsidRPr="00000000" w14:paraId="00000003">
      <w:pPr>
        <w:spacing w:after="800" w:lineRule="auto"/>
        <w:jc w:val="center"/>
        <w:rPr>
          <w:color w:val="2b6cb0"/>
          <w:sz w:val="28"/>
          <w:szCs w:val="28"/>
        </w:rPr>
      </w:pPr>
      <w:r w:rsidDel="00000000" w:rsidR="00000000" w:rsidRPr="00000000">
        <w:rPr>
          <w:color w:val="2b6cb0"/>
          <w:sz w:val="28"/>
          <w:szCs w:val="28"/>
          <w:rtl w:val="0"/>
        </w:rPr>
        <w:t xml:space="preserve">Módulo Premium de Gestión de Inventarios a la Medida</w:t>
        <w:br w:type="textWrapping"/>
        <w:br w:type="textWrapping"/>
        <w:t xml:space="preserve"> Modelo SaaS Corporativo e Infraestructura Dedicada de Alta Escalabilidad</w:t>
      </w:r>
    </w:p>
    <w:p w:rsidR="00000000" w:rsidDel="00000000" w:rsidP="00000000" w:rsidRDefault="00000000" w:rsidRPr="00000000" w14:paraId="00000004">
      <w:pPr>
        <w:spacing w:line="300" w:lineRule="auto"/>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t xml:space="preserve"> </w:t>
      </w:r>
    </w:p>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1. Resumen Ejecutivo y Diagnóstico del Proyecto</w:t>
      </w:r>
    </w:p>
    <w:p w:rsidR="00000000" w:rsidDel="00000000" w:rsidP="00000000" w:rsidRDefault="00000000" w:rsidRPr="00000000" w14:paraId="00000011">
      <w:pPr>
        <w:spacing w:after="160" w:lineRule="auto"/>
        <w:rPr/>
      </w:pPr>
      <w:r w:rsidDel="00000000" w:rsidR="00000000" w:rsidRPr="00000000">
        <w:rPr>
          <w:rtl w:val="0"/>
        </w:rPr>
        <w:t xml:space="preserve">La presente propuesta detalla la estrategia de desarrollo e ingeniería para el Módulo de Inventario a la medida. La solución mitiga las fallas operativas de los procesos en papel y Excel mediante una arquitectura nativa omnicanal. Diseñado bajo un enfoque híbrido, el proyecto reduce la resistencia operativa mediante interfaces idénticas a los requerimientos aprobados y la posterior transición a un esquema SaaS de membresía mensual.</w:t>
      </w:r>
    </w:p>
    <w:p w:rsidR="00000000" w:rsidDel="00000000" w:rsidP="00000000" w:rsidRDefault="00000000" w:rsidRPr="00000000" w14:paraId="00000012">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2. Alcance Funcional del Módulo de Inventario</w:t>
      </w:r>
    </w:p>
    <w:p w:rsidR="00000000" w:rsidDel="00000000" w:rsidP="00000000" w:rsidRDefault="00000000" w:rsidRPr="00000000" w14:paraId="00000013">
      <w:pPr>
        <w:spacing w:after="160" w:lineRule="auto"/>
        <w:rPr/>
      </w:pPr>
      <w:r w:rsidDel="00000000" w:rsidR="00000000" w:rsidRPr="00000000">
        <w:rPr>
          <w:rtl w:val="0"/>
        </w:rPr>
        <w:t xml:space="preserve">El alcance funcional del sistema cubre exclusivamente el flujo logístico de almacenamiento y traslados transaccionales de bodegas:</w:t>
      </w:r>
    </w:p>
    <w:p w:rsidR="00000000" w:rsidDel="00000000" w:rsidP="00000000" w:rsidRDefault="00000000" w:rsidRPr="00000000" w14:paraId="0000001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Tablero General e Indicadores: </w:t>
      </w:r>
      <w:r w:rsidDel="00000000" w:rsidR="00000000" w:rsidRPr="00000000">
        <w:rPr>
          <w:rtl w:val="0"/>
        </w:rPr>
        <w:t xml:space="preserve">Alertas visuales inmediatas en la pantalla de inicio en color rojo cuando el stock de cualquier insumo caiga a un nivel menor o igual al 10% del stock mínimo.</w:t>
      </w:r>
    </w:p>
    <w:p w:rsidR="00000000" w:rsidDel="00000000" w:rsidP="00000000" w:rsidRDefault="00000000" w:rsidRPr="00000000" w14:paraId="0000001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Carga Omnicanal Física: </w:t>
      </w:r>
      <w:r w:rsidDel="00000000" w:rsidR="00000000" w:rsidRPr="00000000">
        <w:rPr>
          <w:rtl w:val="0"/>
        </w:rPr>
        <w:t xml:space="preserve">Entradas mediante digitación manual, lectura de códigos QR/barras de forma híbrida (cámara nativa vía Capacitor y pistolas de escritorio USB) e importación de archivos de Excel masivos con rechazo inmediato y desglose de fila exacta del error logístico.</w:t>
      </w:r>
    </w:p>
    <w:p w:rsidR="00000000" w:rsidDel="00000000" w:rsidP="00000000" w:rsidRDefault="00000000" w:rsidRPr="00000000" w14:paraId="0000001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Flujo de Traslados de Doble Factor: </w:t>
      </w:r>
      <w:r w:rsidDel="00000000" w:rsidR="00000000" w:rsidRPr="00000000">
        <w:rPr>
          <w:rtl w:val="0"/>
        </w:rPr>
        <w:t xml:space="preserve">Descuento inicial de Bodega Central (Estado: En Tránsito). El inventario de la sede destino no se actualiza hasta que el operador local use la Pantalla de Aceptación de Ingreso y verifique la carga física.</w:t>
      </w:r>
    </w:p>
    <w:p w:rsidR="00000000" w:rsidDel="00000000" w:rsidP="00000000" w:rsidRDefault="00000000" w:rsidRPr="00000000" w14:paraId="00000017">
      <w:pPr>
        <w:spacing w:after="1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Segmentación Histórica: </w:t>
      </w:r>
      <w:r w:rsidDel="00000000" w:rsidR="00000000" w:rsidRPr="00000000">
        <w:rPr>
          <w:rtl w:val="0"/>
        </w:rPr>
        <w:t xml:space="preserve">Procesamiento rápido de las 400,000 boletas trimestrales. Por defecto se renderiza el trimestre en curso; la reportería antigua se consulta mediante filtros en una pestaña de Históricos.</w:t>
      </w:r>
    </w:p>
    <w:p w:rsidR="00000000" w:rsidDel="00000000" w:rsidP="00000000" w:rsidRDefault="00000000" w:rsidRPr="00000000" w14:paraId="00000018">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3. Arquitectura, Stack Tecnológico y Requerimientos de Power BI</w:t>
      </w:r>
    </w:p>
    <w:p w:rsidR="00000000" w:rsidDel="00000000" w:rsidP="00000000" w:rsidRDefault="00000000" w:rsidRPr="00000000" w14:paraId="00000019">
      <w:pPr>
        <w:spacing w:after="160" w:lineRule="auto"/>
        <w:rPr/>
      </w:pPr>
      <w:r w:rsidDel="00000000" w:rsidR="00000000" w:rsidRPr="00000000">
        <w:rPr>
          <w:rtl w:val="0"/>
        </w:rPr>
        <w:t xml:space="preserve">La pila tecnológica se basará en un entorno unificado en TypeScript (API-First), garantizando la máxima velocidad operativa frente al volumen de boletas transaccionales:</w:t>
      </w:r>
    </w:p>
    <w:p w:rsidR="00000000" w:rsidDel="00000000" w:rsidP="00000000" w:rsidRDefault="00000000" w:rsidRPr="00000000" w14:paraId="0000001A">
      <w:pPr>
        <w:spacing w:after="160" w:lineRule="auto"/>
        <w:rPr/>
      </w:pPr>
      <w:r w:rsidDel="00000000" w:rsidR="00000000" w:rsidRPr="00000000">
        <w:rPr>
          <w:rtl w:val="0"/>
        </w:rPr>
        <w:t xml:space="preserve">• Frontend: React.js (v19), Vite, TypeScript, Tailwind CSS (v4), shadcn/ui y portabilidad móvil nativa vía Capacitor para control de cámaras en bodegas.</w:t>
        <w:br w:type="textWrapping"/>
        <w:t xml:space="preserve"> • Backend: NestJS (v10), TypeScript, Socket.io para la transmisión de alertas en vivo, y seguridad Passport.js con JWT.</w:t>
        <w:br w:type="textWrapping"/>
        <w:t xml:space="preserve"> • Base de Datos y Persistencia: PostgreSQL y Prisma ORM (v5.8) para tipado seguro integral.</w:t>
        <w:br w:type="textWrapping"/>
        <w:t xml:space="preserve"> • Infraestructura Cloud: CDN global para frontend (Vercel/Netlify), PaaS dedicado (AWS AppRunner/Render) y AWS S3 o Cloudflare R2 para PDFs.</w:t>
      </w:r>
    </w:p>
    <w:p w:rsidR="00000000" w:rsidDel="00000000" w:rsidP="00000000" w:rsidRDefault="00000000" w:rsidRPr="00000000" w14:paraId="0000001B">
      <w:pPr>
        <w:spacing w:after="120" w:before="280" w:lineRule="auto"/>
        <w:rPr>
          <w:b w:val="1"/>
          <w:bCs w:val="1"/>
          <w:color w:val="2b6cb0"/>
          <w:sz w:val="28"/>
          <w:szCs w:val="28"/>
        </w:rPr>
      </w:pPr>
      <w:r w:rsidDel="00000000" w:rsidR="00000000" w:rsidRPr="00000000">
        <w:rPr>
          <w:b w:val="1"/>
          <w:bCs w:val="1"/>
          <w:color w:val="2b6cb0"/>
          <w:sz w:val="28"/>
          <w:szCs w:val="28"/>
          <w:rtl w:val="0"/>
        </w:rPr>
        <w:t xml:space="preserve">3.1 Prerrequisitos de Integración de Power BI</w:t>
      </w:r>
    </w:p>
    <w:p w:rsidR="00000000" w:rsidDel="00000000" w:rsidP="00000000" w:rsidRDefault="00000000" w:rsidRPr="00000000" w14:paraId="0000001C">
      <w:pPr>
        <w:spacing w:after="160" w:lineRule="auto"/>
        <w:rPr/>
      </w:pPr>
      <w:r w:rsidDel="00000000" w:rsidR="00000000" w:rsidRPr="00000000">
        <w:rPr>
          <w:rtl w:val="0"/>
        </w:rPr>
        <w:t xml:space="preserve">Para el desarrollo de la reportería embebida llave en mano dentro del sistema web, el cliente se obliga a entregar desde la fase inicial de desarrollo una cuenta con suficientes privilegios de administración del Tenant de Microsoft, junto con las credenciales de la puerta de enlace (gateway). Este factor es indispensable para habilitar el código embebido y conectar los tableros analíticos de stock a la base de datos PostgreSQL desde el primer día de pruebas.</w:t>
      </w:r>
    </w:p>
    <w:p w:rsidR="00000000" w:rsidDel="00000000" w:rsidP="00000000" w:rsidRDefault="00000000" w:rsidRPr="00000000" w14:paraId="0000001D">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4. Planificación de Costos de Infraestructura Cloud de Producción</w:t>
      </w:r>
    </w:p>
    <w:p w:rsidR="00000000" w:rsidDel="00000000" w:rsidP="00000000" w:rsidRDefault="00000000" w:rsidRPr="00000000" w14:paraId="0000001E">
      <w:pPr>
        <w:spacing w:after="160" w:lineRule="auto"/>
        <w:rPr/>
      </w:pPr>
      <w:r w:rsidDel="00000000" w:rsidR="00000000" w:rsidRPr="00000000">
        <w:rPr>
          <w:rtl w:val="0"/>
        </w:rPr>
        <w:t xml:space="preserve">Un pilar fundamental de esta propuesta corporativa bajo la modalidad BYOI (Bring Your Own Infrastructure) es que el cliente es el propietario absoluto de sus servidores y datos. Keystone creará todas las cuentas y entornos en la nube utilizando un correo maestro proporcionado por el cliente en el inicio del Hito 1.</w:t>
      </w:r>
    </w:p>
    <w:p w:rsidR="00000000" w:rsidDel="00000000" w:rsidP="00000000" w:rsidRDefault="00000000" w:rsidRPr="00000000" w14:paraId="0000001F">
      <w:pPr>
        <w:spacing w:after="160" w:lineRule="auto"/>
        <w:rPr/>
      </w:pPr>
      <w:r w:rsidDel="00000000" w:rsidR="00000000" w:rsidRPr="00000000">
        <w:rPr>
          <w:rtl w:val="0"/>
        </w:rPr>
        <w:t xml:space="preserve">A continuación, se detalla el presupuesto estimado de consumo mensual de la arquitectura Cloud en base al volumen proyectado (1.6 millones de transacciones anuales). Los pagos de consumo se realizan de forma directa mediante la tarjeta de la institución amarrada a las consolas de hosting: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1.281707764058"/>
        <w:gridCol w:w="3027.820174163623"/>
        <w:gridCol w:w="2926.409929095942"/>
        <w:tblGridChange w:id="0">
          <w:tblGrid>
            <w:gridCol w:w="3071.281707764058"/>
            <w:gridCol w:w="3027.820174163623"/>
            <w:gridCol w:w="2926.409929095942"/>
          </w:tblGrid>
        </w:tblGridChange>
      </w:tblGrid>
      <w:tr>
        <w:trPr>
          <w:cantSplit w:val="0"/>
          <w:trHeight w:val="1290" w:hRule="atLeast"/>
          <w:tblHeader w:val="0"/>
        </w:trPr>
        <w:tc>
          <w:tcPr>
            <w:tcBorders>
              <w:top w:color="e0e0e0" w:space="0" w:sz="9" w:val="single"/>
              <w:left w:color="e0e0e0" w:space="0" w:sz="9" w:val="single"/>
              <w:bottom w:color="e0e0e0" w:space="0" w:sz="9" w:val="single"/>
              <w:right w:color="000000" w:space="0" w:sz="0" w:val="nil"/>
            </w:tcBorders>
            <w:shd w:fill="1a365d" w:val="clear"/>
            <w:tcMar>
              <w:top w:w="140.0" w:type="dxa"/>
              <w:left w:w="160.0" w:type="dxa"/>
              <w:bottom w:w="140.0" w:type="dxa"/>
              <w:right w:w="160.0" w:type="dxa"/>
            </w:tcMar>
            <w:vAlign w:val="top"/>
          </w:tcPr>
          <w:p w:rsidR="00000000" w:rsidDel="00000000" w:rsidP="00000000" w:rsidRDefault="00000000" w:rsidRPr="00000000" w14:paraId="00000020">
            <w:pPr>
              <w:spacing w:after="160" w:lineRule="auto"/>
              <w:rPr>
                <w:b w:val="1"/>
                <w:bCs w:val="1"/>
                <w:color w:val="ffffff"/>
              </w:rPr>
            </w:pPr>
            <w:r w:rsidDel="00000000" w:rsidR="00000000" w:rsidRPr="00000000">
              <w:rPr>
                <w:b w:val="1"/>
                <w:bCs w:val="1"/>
                <w:color w:val="ffffff"/>
                <w:rtl w:val="0"/>
              </w:rPr>
              <w:t xml:space="preserve">Servicio / Componente Cloud</w:t>
            </w:r>
          </w:p>
        </w:tc>
        <w:tc>
          <w:tcPr>
            <w:tcBorders>
              <w:top w:color="e0e0e0" w:space="0" w:sz="9" w:val="single"/>
              <w:left w:color="000000" w:space="0" w:sz="0" w:val="nil"/>
              <w:bottom w:color="e0e0e0" w:space="0" w:sz="9" w:val="single"/>
              <w:right w:color="000000" w:space="0" w:sz="0" w:val="nil"/>
            </w:tcBorders>
            <w:shd w:fill="1a365d" w:val="clear"/>
            <w:tcMar>
              <w:top w:w="140.0" w:type="dxa"/>
              <w:left w:w="160.0" w:type="dxa"/>
              <w:bottom w:w="140.0" w:type="dxa"/>
              <w:right w:w="160.0" w:type="dxa"/>
            </w:tcMar>
            <w:vAlign w:val="top"/>
          </w:tcPr>
          <w:p w:rsidR="00000000" w:rsidDel="00000000" w:rsidP="00000000" w:rsidRDefault="00000000" w:rsidRPr="00000000" w14:paraId="00000021">
            <w:pPr>
              <w:spacing w:after="160" w:lineRule="auto"/>
              <w:rPr>
                <w:b w:val="1"/>
                <w:bCs w:val="1"/>
                <w:color w:val="ffffff"/>
              </w:rPr>
            </w:pPr>
            <w:r w:rsidDel="00000000" w:rsidR="00000000" w:rsidRPr="00000000">
              <w:rPr>
                <w:b w:val="1"/>
                <w:bCs w:val="1"/>
                <w:color w:val="ffffff"/>
                <w:rtl w:val="0"/>
              </w:rPr>
              <w:t xml:space="preserve">Especificación Técnica Requerida (Soporte Transaccional)</w:t>
            </w:r>
          </w:p>
        </w:tc>
        <w:tc>
          <w:tcPr>
            <w:tcBorders>
              <w:top w:color="e0e0e0" w:space="0" w:sz="9" w:val="single"/>
              <w:left w:color="000000" w:space="0" w:sz="0" w:val="nil"/>
              <w:bottom w:color="e0e0e0" w:space="0" w:sz="9" w:val="single"/>
              <w:right w:color="e0e0e0" w:space="0" w:sz="9" w:val="single"/>
            </w:tcBorders>
            <w:shd w:fill="1a365d" w:val="clear"/>
            <w:tcMar>
              <w:top w:w="140.0" w:type="dxa"/>
              <w:left w:w="160.0" w:type="dxa"/>
              <w:bottom w:w="140.0" w:type="dxa"/>
              <w:right w:w="160.0" w:type="dxa"/>
            </w:tcMar>
            <w:vAlign w:val="top"/>
          </w:tcPr>
          <w:p w:rsidR="00000000" w:rsidDel="00000000" w:rsidP="00000000" w:rsidRDefault="00000000" w:rsidRPr="00000000" w14:paraId="00000022">
            <w:pPr>
              <w:spacing w:after="160" w:lineRule="auto"/>
              <w:rPr>
                <w:b w:val="1"/>
                <w:bCs w:val="1"/>
                <w:color w:val="ffffff"/>
              </w:rPr>
            </w:pPr>
            <w:r w:rsidDel="00000000" w:rsidR="00000000" w:rsidRPr="00000000">
              <w:rPr>
                <w:b w:val="1"/>
                <w:bCs w:val="1"/>
                <w:color w:val="ffffff"/>
                <w:rtl w:val="0"/>
              </w:rPr>
              <w:t xml:space="preserve">Costo Estimado Mensual</w:t>
            </w:r>
          </w:p>
        </w:tc>
      </w:tr>
      <w:tr>
        <w:trPr>
          <w:cantSplit w:val="0"/>
          <w:trHeight w:val="2580" w:hRule="atLeast"/>
          <w:tblHeader w:val="0"/>
        </w:trPr>
        <w:tc>
          <w:tcPr>
            <w:tcBorders>
              <w:top w:color="000000" w:space="0" w:sz="0" w:val="nil"/>
              <w:left w:color="e0e0e0" w:space="0" w:sz="9" w:val="single"/>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23">
            <w:pPr>
              <w:spacing w:after="160" w:lineRule="auto"/>
              <w:rPr>
                <w:b w:val="1"/>
                <w:bCs w:val="1"/>
              </w:rPr>
            </w:pPr>
            <w:r w:rsidDel="00000000" w:rsidR="00000000" w:rsidRPr="00000000">
              <w:rPr>
                <w:b w:val="1"/>
                <w:bCs w:val="1"/>
                <w:rtl w:val="0"/>
              </w:rPr>
              <w:t xml:space="preserve">Alojamiento de Base de Datos</w:t>
              <w:br w:type="textWrapping"/>
              <w:t xml:space="preserve"> (PostgreSQL Dedicado)</w:t>
            </w:r>
          </w:p>
        </w:tc>
        <w:tc>
          <w:tcPr>
            <w:tcBorders>
              <w:top w:color="000000" w:space="0" w:sz="0" w:val="nil"/>
              <w:left w:color="000000" w:space="0" w:sz="0" w:val="nil"/>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Instancia administrada con almacenamiento SSD de alta velocidad y retención automatizada de backups diarios. Capacidad holgada para responder en &lt;2 segundos ante el tráfico masivo de boletas.</w:t>
            </w:r>
          </w:p>
        </w:tc>
        <w:tc>
          <w:tcPr>
            <w:tcBorders>
              <w:top w:color="000000" w:space="0" w:sz="0" w:val="nil"/>
              <w:left w:color="000000" w:space="0" w:sz="0" w:val="nil"/>
              <w:bottom w:color="e0e0e0" w:space="0" w:sz="9" w:val="single"/>
              <w:right w:color="e0e0e0" w:space="0" w:sz="9" w:val="single"/>
            </w:tcBorders>
            <w:tcMar>
              <w:top w:w="100.0" w:type="dxa"/>
              <w:left w:w="160.0" w:type="dxa"/>
              <w:bottom w:w="100.0" w:type="dxa"/>
              <w:right w:w="160.0" w:type="dxa"/>
            </w:tcMar>
            <w:vAlign w:val="top"/>
          </w:tcPr>
          <w:p w:rsidR="00000000" w:rsidDel="00000000" w:rsidP="00000000" w:rsidRDefault="00000000" w:rsidRPr="00000000" w14:paraId="00000025">
            <w:pPr>
              <w:spacing w:after="160" w:lineRule="auto"/>
              <w:rPr>
                <w:b w:val="1"/>
                <w:bCs w:val="1"/>
              </w:rPr>
            </w:pPr>
            <w:r w:rsidDel="00000000" w:rsidR="00000000" w:rsidRPr="00000000">
              <w:rPr>
                <w:b w:val="1"/>
                <w:bCs w:val="1"/>
                <w:rtl w:val="0"/>
              </w:rPr>
              <w:t xml:space="preserve">$70.00 USD / mes</w:t>
            </w:r>
          </w:p>
        </w:tc>
      </w:tr>
      <w:tr>
        <w:trPr>
          <w:cantSplit w:val="0"/>
          <w:trHeight w:val="2310" w:hRule="atLeast"/>
          <w:tblHeader w:val="0"/>
        </w:trPr>
        <w:tc>
          <w:tcPr>
            <w:tcBorders>
              <w:top w:color="000000" w:space="0" w:sz="0" w:val="nil"/>
              <w:left w:color="e0e0e0" w:space="0" w:sz="9" w:val="single"/>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26">
            <w:pPr>
              <w:spacing w:after="160" w:lineRule="auto"/>
              <w:rPr>
                <w:b w:val="1"/>
                <w:bCs w:val="1"/>
              </w:rPr>
            </w:pPr>
            <w:r w:rsidDel="00000000" w:rsidR="00000000" w:rsidRPr="00000000">
              <w:rPr>
                <w:b w:val="1"/>
                <w:bCs w:val="1"/>
                <w:rtl w:val="0"/>
              </w:rPr>
              <w:t xml:space="preserve">Servidor de API Backend</w:t>
              <w:br w:type="textWrapping"/>
              <w:t xml:space="preserve"> (Render / AWS AppRunner)</w:t>
            </w:r>
          </w:p>
        </w:tc>
        <w:tc>
          <w:tcPr>
            <w:tcBorders>
              <w:top w:color="000000" w:space="0" w:sz="0" w:val="nil"/>
              <w:left w:color="000000" w:space="0" w:sz="0" w:val="nil"/>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Instancia de cómputo dedicada para el procesamiento modular de NestJS, autenticación perimetral JWT y túneles Socket.io en tiempo real activos de forma constante.</w:t>
            </w:r>
          </w:p>
        </w:tc>
        <w:tc>
          <w:tcPr>
            <w:tcBorders>
              <w:top w:color="000000" w:space="0" w:sz="0" w:val="nil"/>
              <w:left w:color="000000" w:space="0" w:sz="0" w:val="nil"/>
              <w:bottom w:color="e0e0e0" w:space="0" w:sz="9" w:val="single"/>
              <w:right w:color="e0e0e0" w:space="0" w:sz="9" w:val="single"/>
            </w:tcBorders>
            <w:shd w:fill="f7fafc" w:val="clear"/>
            <w:tcMar>
              <w:top w:w="100.0" w:type="dxa"/>
              <w:left w:w="160.0" w:type="dxa"/>
              <w:bottom w:w="100.0" w:type="dxa"/>
              <w:right w:w="160.0" w:type="dxa"/>
            </w:tcMar>
            <w:vAlign w:val="top"/>
          </w:tcPr>
          <w:p w:rsidR="00000000" w:rsidDel="00000000" w:rsidP="00000000" w:rsidRDefault="00000000" w:rsidRPr="00000000" w14:paraId="00000028">
            <w:pPr>
              <w:spacing w:after="160" w:lineRule="auto"/>
              <w:rPr>
                <w:b w:val="1"/>
                <w:bCs w:val="1"/>
              </w:rPr>
            </w:pPr>
            <w:r w:rsidDel="00000000" w:rsidR="00000000" w:rsidRPr="00000000">
              <w:rPr>
                <w:b w:val="1"/>
                <w:bCs w:val="1"/>
                <w:rtl w:val="0"/>
              </w:rPr>
              <w:t xml:space="preserve">$50.00 USD / mes</w:t>
            </w:r>
          </w:p>
        </w:tc>
      </w:tr>
      <w:tr>
        <w:trPr>
          <w:cantSplit w:val="0"/>
          <w:trHeight w:val="2310" w:hRule="atLeast"/>
          <w:tblHeader w:val="0"/>
        </w:trPr>
        <w:tc>
          <w:tcPr>
            <w:tcBorders>
              <w:top w:color="000000" w:space="0" w:sz="0" w:val="nil"/>
              <w:left w:color="e0e0e0" w:space="0" w:sz="9" w:val="single"/>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29">
            <w:pPr>
              <w:spacing w:after="160" w:lineRule="auto"/>
              <w:rPr>
                <w:b w:val="1"/>
                <w:bCs w:val="1"/>
              </w:rPr>
            </w:pPr>
            <w:r w:rsidDel="00000000" w:rsidR="00000000" w:rsidRPr="00000000">
              <w:rPr>
                <w:b w:val="1"/>
                <w:bCs w:val="1"/>
                <w:rtl w:val="0"/>
              </w:rPr>
              <w:t xml:space="preserve">Almacenamiento de Archivos</w:t>
              <w:br w:type="textWrapping"/>
              <w:t xml:space="preserve"> (AWS S3 / Cloudflare R2)</w:t>
            </w:r>
          </w:p>
        </w:tc>
        <w:tc>
          <w:tcPr>
            <w:tcBorders>
              <w:top w:color="000000" w:space="0" w:sz="0" w:val="nil"/>
              <w:left w:color="000000" w:space="0" w:sz="0" w:val="nil"/>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Repositorio de objetos en la nube para almacenamiento estático indexado de las cotizaciones en PDF adjuntas a las requisiciones de compra mayores a Q10,000.</w:t>
            </w:r>
          </w:p>
        </w:tc>
        <w:tc>
          <w:tcPr>
            <w:tcBorders>
              <w:top w:color="000000" w:space="0" w:sz="0" w:val="nil"/>
              <w:left w:color="000000" w:space="0" w:sz="0" w:val="nil"/>
              <w:bottom w:color="e0e0e0" w:space="0" w:sz="9" w:val="single"/>
              <w:right w:color="e0e0e0" w:space="0" w:sz="9" w:val="single"/>
            </w:tcBorders>
            <w:tcMar>
              <w:top w:w="100.0" w:type="dxa"/>
              <w:left w:w="160.0" w:type="dxa"/>
              <w:bottom w:w="100.0" w:type="dxa"/>
              <w:right w:w="160.0" w:type="dxa"/>
            </w:tcMar>
            <w:vAlign w:val="top"/>
          </w:tcPr>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$20.00 USD / mes</w:t>
            </w:r>
          </w:p>
        </w:tc>
      </w:tr>
      <w:tr>
        <w:trPr>
          <w:cantSplit w:val="0"/>
          <w:trHeight w:val="2310" w:hRule="atLeast"/>
          <w:tblHeader w:val="0"/>
        </w:trPr>
        <w:tc>
          <w:tcPr>
            <w:tcBorders>
              <w:top w:color="000000" w:space="0" w:sz="0" w:val="nil"/>
              <w:left w:color="e0e0e0" w:space="0" w:sz="9" w:val="single"/>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2C">
            <w:pPr>
              <w:spacing w:after="160" w:lineRule="auto"/>
              <w:rPr>
                <w:b w:val="1"/>
                <w:bCs w:val="1"/>
              </w:rPr>
            </w:pPr>
            <w:r w:rsidDel="00000000" w:rsidR="00000000" w:rsidRPr="00000000">
              <w:rPr>
                <w:b w:val="1"/>
                <w:bCs w:val="1"/>
                <w:rtl w:val="0"/>
              </w:rPr>
              <w:t xml:space="preserve">Hosting del Frontend y CDN</w:t>
              <w:br w:type="textWrapping"/>
              <w:t xml:space="preserve"> (Vercel / Netlify Premium)</w:t>
            </w:r>
          </w:p>
        </w:tc>
        <w:tc>
          <w:tcPr>
            <w:tcBorders>
              <w:top w:color="000000" w:space="0" w:sz="0" w:val="nil"/>
              <w:left w:color="000000" w:space="0" w:sz="0" w:val="nil"/>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Red de distribución de contenido global optimizada con certificados SSL automáticos y pipelines integrados para el despliegue optimizado del cliente React 19.</w:t>
            </w:r>
          </w:p>
        </w:tc>
        <w:tc>
          <w:tcPr>
            <w:tcBorders>
              <w:top w:color="000000" w:space="0" w:sz="0" w:val="nil"/>
              <w:left w:color="000000" w:space="0" w:sz="0" w:val="nil"/>
              <w:bottom w:color="e0e0e0" w:space="0" w:sz="9" w:val="single"/>
              <w:right w:color="e0e0e0" w:space="0" w:sz="9" w:val="single"/>
            </w:tcBorders>
            <w:shd w:fill="f7fafc" w:val="clear"/>
            <w:tcMar>
              <w:top w:w="100.0" w:type="dxa"/>
              <w:left w:w="160.0" w:type="dxa"/>
              <w:bottom w:w="100.0" w:type="dxa"/>
              <w:right w:w="160.0" w:type="dxa"/>
            </w:tcMar>
            <w:vAlign w:val="top"/>
          </w:tcPr>
          <w:p w:rsidR="00000000" w:rsidDel="00000000" w:rsidP="00000000" w:rsidRDefault="00000000" w:rsidRPr="00000000" w14:paraId="0000002E">
            <w:pPr>
              <w:spacing w:after="160" w:lineRule="auto"/>
              <w:rPr>
                <w:b w:val="1"/>
                <w:bCs w:val="1"/>
              </w:rPr>
            </w:pPr>
            <w:r w:rsidDel="00000000" w:rsidR="00000000" w:rsidRPr="00000000">
              <w:rPr>
                <w:b w:val="1"/>
                <w:bCs w:val="1"/>
                <w:rtl w:val="0"/>
              </w:rPr>
              <w:t xml:space="preserve">$10.00 USD / mes</w:t>
            </w:r>
          </w:p>
        </w:tc>
      </w:tr>
    </w:tbl>
    <w:p w:rsidR="00000000" w:rsidDel="00000000" w:rsidP="00000000" w:rsidRDefault="00000000" w:rsidRPr="00000000" w14:paraId="0000002F">
      <w:pPr>
        <w:spacing w:after="160" w:before="160" w:lineRule="auto"/>
        <w:rPr/>
      </w:pPr>
      <w:r w:rsidDel="00000000" w:rsidR="00000000" w:rsidRPr="00000000">
        <w:rPr>
          <w:b w:val="1"/>
          <w:bCs w:val="1"/>
          <w:rtl w:val="0"/>
        </w:rPr>
        <w:t xml:space="preserve">Nota Justificativa para el Cliente: </w:t>
      </w:r>
      <w:r w:rsidDel="00000000" w:rsidR="00000000" w:rsidRPr="00000000">
        <w:rPr>
          <w:rtl w:val="0"/>
        </w:rPr>
        <w:t xml:space="preserve">El pago de estos recursos corre por cuenta del cliente debido a que garantiza la propiedad absoluta del código y la soberanía total de los datos transaccionales de sus 23 agencias. Esto evita contratos cautivos de licenciamiento por bases de datos de terceros y asegura la transparencia en los costos reales del software.</w:t>
      </w:r>
    </w:p>
    <w:p w:rsidR="00000000" w:rsidDel="00000000" w:rsidP="00000000" w:rsidRDefault="00000000" w:rsidRPr="00000000" w14:paraId="00000030">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5. Plan de Trabajo y Cronograma de Hitos</w:t>
      </w:r>
    </w:p>
    <w:p w:rsidR="00000000" w:rsidDel="00000000" w:rsidP="00000000" w:rsidRDefault="00000000" w:rsidRPr="00000000" w14:paraId="00000031">
      <w:pPr>
        <w:spacing w:after="160" w:lineRule="auto"/>
        <w:rPr/>
      </w:pPr>
      <w:r w:rsidDel="00000000" w:rsidR="00000000" w:rsidRPr="00000000">
        <w:rPr>
          <w:rtl w:val="0"/>
        </w:rPr>
        <w:t xml:space="preserve">El desarrollo técnico se estructurará bajo el marco híbrido corporativo de Keystone, distribuyéndose en 91 horas hombre estimadas mediante análisis PERT. Los hitos delimitan entregables funcionales en el entorno de Staging antes del paso definitivo a producción: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164594779351"/>
        <w:gridCol w:w="2104.0180266855714"/>
        <w:gridCol w:w="2379.716940527129"/>
        <w:gridCol w:w="2234.6122490315724"/>
        <w:tblGridChange w:id="0">
          <w:tblGrid>
            <w:gridCol w:w="2307.164594779351"/>
            <w:gridCol w:w="2104.0180266855714"/>
            <w:gridCol w:w="2379.716940527129"/>
            <w:gridCol w:w="2234.6122490315724"/>
          </w:tblGrid>
        </w:tblGridChange>
      </w:tblGrid>
      <w:tr>
        <w:trPr>
          <w:cantSplit w:val="0"/>
          <w:trHeight w:val="1005" w:hRule="atLeast"/>
          <w:tblHeader w:val="0"/>
        </w:trPr>
        <w:tc>
          <w:tcPr>
            <w:tcBorders>
              <w:top w:color="e0e0e0" w:space="0" w:sz="9" w:val="single"/>
              <w:left w:color="e0e0e0" w:space="0" w:sz="9" w:val="single"/>
              <w:bottom w:color="e0e0e0" w:space="0" w:sz="9" w:val="single"/>
              <w:right w:color="000000" w:space="0" w:sz="0" w:val="nil"/>
            </w:tcBorders>
            <w:shd w:fill="1a365d" w:val="clear"/>
            <w:tcMar>
              <w:top w:w="140.0" w:type="dxa"/>
              <w:left w:w="160.0" w:type="dxa"/>
              <w:bottom w:w="140.0" w:type="dxa"/>
              <w:right w:w="160.0" w:type="dxa"/>
            </w:tcMar>
            <w:vAlign w:val="top"/>
          </w:tcPr>
          <w:p w:rsidR="00000000" w:rsidDel="00000000" w:rsidP="00000000" w:rsidRDefault="00000000" w:rsidRPr="00000000" w14:paraId="00000032">
            <w:pPr>
              <w:spacing w:after="160" w:lineRule="auto"/>
              <w:rPr>
                <w:b w:val="1"/>
                <w:bCs w:val="1"/>
                <w:color w:val="ffffff"/>
              </w:rPr>
            </w:pPr>
            <w:r w:rsidDel="00000000" w:rsidR="00000000" w:rsidRPr="00000000">
              <w:rPr>
                <w:b w:val="1"/>
                <w:bCs w:val="1"/>
                <w:color w:val="ffffff"/>
                <w:rtl w:val="0"/>
              </w:rPr>
              <w:t xml:space="preserve">Hito Contractual</w:t>
            </w:r>
          </w:p>
        </w:tc>
        <w:tc>
          <w:tcPr>
            <w:tcBorders>
              <w:top w:color="e0e0e0" w:space="0" w:sz="9" w:val="single"/>
              <w:left w:color="000000" w:space="0" w:sz="0" w:val="nil"/>
              <w:bottom w:color="e0e0e0" w:space="0" w:sz="9" w:val="single"/>
              <w:right w:color="000000" w:space="0" w:sz="0" w:val="nil"/>
            </w:tcBorders>
            <w:shd w:fill="1a365d" w:val="clear"/>
            <w:tcMar>
              <w:top w:w="140.0" w:type="dxa"/>
              <w:left w:w="160.0" w:type="dxa"/>
              <w:bottom w:w="140.0" w:type="dxa"/>
              <w:right w:w="160.0" w:type="dxa"/>
            </w:tcMar>
            <w:vAlign w:val="top"/>
          </w:tcPr>
          <w:p w:rsidR="00000000" w:rsidDel="00000000" w:rsidP="00000000" w:rsidRDefault="00000000" w:rsidRPr="00000000" w14:paraId="00000033">
            <w:pPr>
              <w:spacing w:after="160" w:lineRule="auto"/>
              <w:rPr>
                <w:b w:val="1"/>
                <w:bCs w:val="1"/>
                <w:color w:val="ffffff"/>
              </w:rPr>
            </w:pPr>
            <w:r w:rsidDel="00000000" w:rsidR="00000000" w:rsidRPr="00000000">
              <w:rPr>
                <w:b w:val="1"/>
                <w:bCs w:val="1"/>
                <w:color w:val="ffffff"/>
                <w:rtl w:val="0"/>
              </w:rPr>
              <w:t xml:space="preserve">Esfuerzo</w:t>
            </w:r>
          </w:p>
        </w:tc>
        <w:tc>
          <w:tcPr>
            <w:tcBorders>
              <w:top w:color="e0e0e0" w:space="0" w:sz="9" w:val="single"/>
              <w:left w:color="000000" w:space="0" w:sz="0" w:val="nil"/>
              <w:bottom w:color="e0e0e0" w:space="0" w:sz="9" w:val="single"/>
              <w:right w:color="000000" w:space="0" w:sz="0" w:val="nil"/>
            </w:tcBorders>
            <w:shd w:fill="1a365d" w:val="clear"/>
            <w:tcMar>
              <w:top w:w="140.0" w:type="dxa"/>
              <w:left w:w="160.0" w:type="dxa"/>
              <w:bottom w:w="140.0" w:type="dxa"/>
              <w:right w:w="160.0" w:type="dxa"/>
            </w:tcMar>
            <w:vAlign w:val="top"/>
          </w:tcPr>
          <w:p w:rsidR="00000000" w:rsidDel="00000000" w:rsidP="00000000" w:rsidRDefault="00000000" w:rsidRPr="00000000" w14:paraId="00000034">
            <w:pPr>
              <w:spacing w:after="160" w:lineRule="auto"/>
              <w:rPr>
                <w:b w:val="1"/>
                <w:bCs w:val="1"/>
                <w:color w:val="ffffff"/>
              </w:rPr>
            </w:pPr>
            <w:r w:rsidDel="00000000" w:rsidR="00000000" w:rsidRPr="00000000">
              <w:rPr>
                <w:b w:val="1"/>
                <w:bCs w:val="1"/>
                <w:color w:val="ffffff"/>
                <w:rtl w:val="0"/>
              </w:rPr>
              <w:t xml:space="preserve">Entregables Clave de Ingeniería</w:t>
            </w:r>
          </w:p>
        </w:tc>
        <w:tc>
          <w:tcPr>
            <w:tcBorders>
              <w:top w:color="e0e0e0" w:space="0" w:sz="9" w:val="single"/>
              <w:left w:color="000000" w:space="0" w:sz="0" w:val="nil"/>
              <w:bottom w:color="e0e0e0" w:space="0" w:sz="9" w:val="single"/>
              <w:right w:color="e0e0e0" w:space="0" w:sz="9" w:val="single"/>
            </w:tcBorders>
            <w:shd w:fill="1a365d" w:val="clear"/>
            <w:tcMar>
              <w:top w:w="140.0" w:type="dxa"/>
              <w:left w:w="160.0" w:type="dxa"/>
              <w:bottom w:w="140.0" w:type="dxa"/>
              <w:right w:w="160.0" w:type="dxa"/>
            </w:tcMar>
            <w:vAlign w:val="top"/>
          </w:tcPr>
          <w:p w:rsidR="00000000" w:rsidDel="00000000" w:rsidP="00000000" w:rsidRDefault="00000000" w:rsidRPr="00000000" w14:paraId="00000035">
            <w:pPr>
              <w:spacing w:after="160" w:lineRule="auto"/>
              <w:rPr>
                <w:b w:val="1"/>
                <w:bCs w:val="1"/>
                <w:color w:val="ffffff"/>
              </w:rPr>
            </w:pPr>
            <w:r w:rsidDel="00000000" w:rsidR="00000000" w:rsidRPr="00000000">
              <w:rPr>
                <w:b w:val="1"/>
                <w:bCs w:val="1"/>
                <w:color w:val="ffffff"/>
                <w:rtl w:val="0"/>
              </w:rPr>
              <w:t xml:space="preserve">Desembolso de Inversión Inicial</w:t>
            </w:r>
          </w:p>
        </w:tc>
      </w:tr>
      <w:tr>
        <w:trPr>
          <w:cantSplit w:val="0"/>
          <w:trHeight w:val="3405" w:hRule="atLeast"/>
          <w:tblHeader w:val="0"/>
        </w:trPr>
        <w:tc>
          <w:tcPr>
            <w:tcBorders>
              <w:top w:color="000000" w:space="0" w:sz="0" w:val="nil"/>
              <w:left w:color="e0e0e0" w:space="0" w:sz="9" w:val="single"/>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36">
            <w:pPr>
              <w:spacing w:after="160" w:lineRule="auto"/>
              <w:rPr>
                <w:b w:val="1"/>
                <w:bCs w:val="1"/>
              </w:rPr>
            </w:pPr>
            <w:r w:rsidDel="00000000" w:rsidR="00000000" w:rsidRPr="00000000">
              <w:rPr>
                <w:b w:val="1"/>
                <w:bCs w:val="1"/>
                <w:rtl w:val="0"/>
              </w:rPr>
              <w:t xml:space="preserve">Hito 1: Inicialización, Infraestructura y Roles</w:t>
            </w:r>
          </w:p>
        </w:tc>
        <w:tc>
          <w:tcPr>
            <w:tcBorders>
              <w:top w:color="000000" w:space="0" w:sz="0" w:val="nil"/>
              <w:left w:color="000000" w:space="0" w:sz="0" w:val="nil"/>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23 hrs</w:t>
            </w:r>
          </w:p>
        </w:tc>
        <w:tc>
          <w:tcPr>
            <w:tcBorders>
              <w:top w:color="000000" w:space="0" w:sz="0" w:val="nil"/>
              <w:left w:color="000000" w:space="0" w:sz="0" w:val="nil"/>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Aprovisionamiento desde cero de las consolas de hosting cloud bajo el correo corporativo del cliente. Modelado de PostgreSQL en Prisma ORM, autenticación JWT Passport.js y menús dinámicos locales.</w:t>
            </w:r>
          </w:p>
        </w:tc>
        <w:tc>
          <w:tcPr>
            <w:tcBorders>
              <w:top w:color="000000" w:space="0" w:sz="0" w:val="nil"/>
              <w:left w:color="000000" w:space="0" w:sz="0" w:val="nil"/>
              <w:bottom w:color="e0e0e0" w:space="0" w:sz="9" w:val="single"/>
              <w:right w:color="e0e0e0" w:space="0" w:sz="9" w:val="single"/>
            </w:tcBorders>
            <w:tcMar>
              <w:top w:w="100.0" w:type="dxa"/>
              <w:left w:w="160.0" w:type="dxa"/>
              <w:bottom w:w="100.0" w:type="dxa"/>
              <w:right w:w="160.0" w:type="dxa"/>
            </w:tcMar>
            <w:vAlign w:val="top"/>
          </w:tcPr>
          <w:p w:rsidR="00000000" w:rsidDel="00000000" w:rsidP="00000000" w:rsidRDefault="00000000" w:rsidRPr="00000000" w14:paraId="00000039">
            <w:pPr>
              <w:spacing w:after="160" w:lineRule="auto"/>
              <w:rPr>
                <w:b w:val="1"/>
                <w:bCs w:val="1"/>
              </w:rPr>
            </w:pPr>
            <w:r w:rsidDel="00000000" w:rsidR="00000000" w:rsidRPr="00000000">
              <w:rPr>
                <w:b w:val="1"/>
                <w:bCs w:val="1"/>
                <w:rtl w:val="0"/>
              </w:rPr>
              <w:t xml:space="preserve">25% del Total</w:t>
              <w:br w:type="textWrapping"/>
              <w:t xml:space="preserve"> $750.00 USD</w:t>
              <w:br w:type="textWrapping"/>
              <w:t xml:space="preserve"> (Q5,850.00)</w:t>
              <w:br w:type="textWrapping"/>
              <w:t xml:space="preserve"> Anticipo Inicial</w:t>
            </w:r>
          </w:p>
        </w:tc>
      </w:tr>
      <w:tr>
        <w:trPr>
          <w:cantSplit w:val="0"/>
          <w:trHeight w:val="3960" w:hRule="atLeast"/>
          <w:tblHeader w:val="0"/>
        </w:trPr>
        <w:tc>
          <w:tcPr>
            <w:tcBorders>
              <w:top w:color="000000" w:space="0" w:sz="0" w:val="nil"/>
              <w:left w:color="e0e0e0" w:space="0" w:sz="9" w:val="single"/>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3A">
            <w:pPr>
              <w:spacing w:after="160" w:lineRule="auto"/>
              <w:rPr>
                <w:b w:val="1"/>
                <w:bCs w:val="1"/>
              </w:rPr>
            </w:pPr>
            <w:r w:rsidDel="00000000" w:rsidR="00000000" w:rsidRPr="00000000">
              <w:rPr>
                <w:b w:val="1"/>
                <w:bCs w:val="1"/>
                <w:rtl w:val="0"/>
              </w:rPr>
              <w:t xml:space="preserve">Hito 2: Core MVP - Lógica Transaccional</w:t>
            </w:r>
          </w:p>
        </w:tc>
        <w:tc>
          <w:tcPr>
            <w:tcBorders>
              <w:top w:color="000000" w:space="0" w:sz="0" w:val="nil"/>
              <w:left w:color="000000" w:space="0" w:sz="0" w:val="nil"/>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36 hrs</w:t>
            </w:r>
          </w:p>
        </w:tc>
        <w:tc>
          <w:tcPr>
            <w:tcBorders>
              <w:top w:color="000000" w:space="0" w:sz="0" w:val="nil"/>
              <w:left w:color="000000" w:space="0" w:sz="0" w:val="nil"/>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3C">
            <w:pPr>
              <w:spacing w:after="160" w:lineRule="auto"/>
              <w:rPr/>
            </w:pPr>
            <w:r w:rsidDel="00000000" w:rsidR="00000000" w:rsidRPr="00000000">
              <w:rPr>
                <w:rtl w:val="0"/>
              </w:rPr>
              <w:t xml:space="preserve">Pantallas de carga física (manual, escáner e importación masiva desde Excel con mapeo de errores). Movimientos, historial de traslados con números correlativos y la interfaz de Aceptación de Ingreso para agencias locales.</w:t>
            </w:r>
          </w:p>
        </w:tc>
        <w:tc>
          <w:tcPr>
            <w:tcBorders>
              <w:top w:color="000000" w:space="0" w:sz="0" w:val="nil"/>
              <w:left w:color="000000" w:space="0" w:sz="0" w:val="nil"/>
              <w:bottom w:color="e0e0e0" w:space="0" w:sz="9" w:val="single"/>
              <w:right w:color="e0e0e0" w:space="0" w:sz="9" w:val="single"/>
            </w:tcBorders>
            <w:shd w:fill="f7fafc" w:val="clear"/>
            <w:tcMar>
              <w:top w:w="100.0" w:type="dxa"/>
              <w:left w:w="160.0" w:type="dxa"/>
              <w:bottom w:w="100.0" w:type="dxa"/>
              <w:right w:w="160.0" w:type="dxa"/>
            </w:tcMar>
            <w:vAlign w:val="top"/>
          </w:tcPr>
          <w:p w:rsidR="00000000" w:rsidDel="00000000" w:rsidP="00000000" w:rsidRDefault="00000000" w:rsidRPr="00000000" w14:paraId="0000003D">
            <w:pPr>
              <w:spacing w:after="160" w:lineRule="auto"/>
              <w:rPr>
                <w:b w:val="1"/>
                <w:bCs w:val="1"/>
              </w:rPr>
            </w:pPr>
            <w:r w:rsidDel="00000000" w:rsidR="00000000" w:rsidRPr="00000000">
              <w:rPr>
                <w:b w:val="1"/>
                <w:bCs w:val="1"/>
                <w:rtl w:val="0"/>
              </w:rPr>
              <w:t xml:space="preserve">35% del Total</w:t>
              <w:br w:type="textWrapping"/>
              <w:t xml:space="preserve"> $1,050.00 USD</w:t>
              <w:br w:type="textWrapping"/>
              <w:t xml:space="preserve"> (Q8,190.00)</w:t>
              <w:br w:type="textWrapping"/>
              <w:t xml:space="preserve"> Al Congelar Core</w:t>
            </w:r>
          </w:p>
        </w:tc>
      </w:tr>
      <w:tr>
        <w:trPr>
          <w:cantSplit w:val="0"/>
          <w:trHeight w:val="3675" w:hRule="atLeast"/>
          <w:tblHeader w:val="0"/>
        </w:trPr>
        <w:tc>
          <w:tcPr>
            <w:tcBorders>
              <w:top w:color="000000" w:space="0" w:sz="0" w:val="nil"/>
              <w:left w:color="e0e0e0" w:space="0" w:sz="9" w:val="single"/>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3E">
            <w:pPr>
              <w:spacing w:after="160" w:lineRule="auto"/>
              <w:rPr>
                <w:b w:val="1"/>
                <w:bCs w:val="1"/>
              </w:rPr>
            </w:pPr>
            <w:r w:rsidDel="00000000" w:rsidR="00000000" w:rsidRPr="00000000">
              <w:rPr>
                <w:b w:val="1"/>
                <w:bCs w:val="1"/>
                <w:rtl w:val="0"/>
              </w:rPr>
              <w:t xml:space="preserve">Hito 3: Consumo Local, Power BI y Pruebas</w:t>
            </w:r>
          </w:p>
        </w:tc>
        <w:tc>
          <w:tcPr>
            <w:tcBorders>
              <w:top w:color="000000" w:space="0" w:sz="0" w:val="nil"/>
              <w:left w:color="000000" w:space="0" w:sz="0" w:val="nil"/>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3F">
            <w:pPr>
              <w:spacing w:after="160" w:lineRule="auto"/>
              <w:rPr/>
            </w:pPr>
            <w:r w:rsidDel="00000000" w:rsidR="00000000" w:rsidRPr="00000000">
              <w:rPr>
                <w:rtl w:val="0"/>
              </w:rPr>
              <w:t xml:space="preserve">19 hrs</w:t>
            </w:r>
          </w:p>
        </w:tc>
        <w:tc>
          <w:tcPr>
            <w:tcBorders>
              <w:top w:color="000000" w:space="0" w:sz="0" w:val="nil"/>
              <w:left w:color="000000" w:space="0" w:sz="0" w:val="nil"/>
              <w:bottom w:color="e0e0e0" w:space="0" w:sz="9"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40">
            <w:pPr>
              <w:spacing w:after="160" w:lineRule="auto"/>
              <w:rPr/>
            </w:pPr>
            <w:r w:rsidDel="00000000" w:rsidR="00000000" w:rsidRPr="00000000">
              <w:rPr>
                <w:rtl w:val="0"/>
              </w:rPr>
              <w:t xml:space="preserve">Interfaz de rebaja por consumo interno en agencias locales. Embebido técnico de tableros analíticos de Power BI en el Tenant del cliente con filtros históricos rápidos. Despliegue en Staging y entrega de accesos para la auditoría UAT.</w:t>
            </w:r>
          </w:p>
        </w:tc>
        <w:tc>
          <w:tcPr>
            <w:tcBorders>
              <w:top w:color="000000" w:space="0" w:sz="0" w:val="nil"/>
              <w:left w:color="000000" w:space="0" w:sz="0" w:val="nil"/>
              <w:bottom w:color="e0e0e0" w:space="0" w:sz="9" w:val="single"/>
              <w:right w:color="e0e0e0" w:space="0" w:sz="9" w:val="single"/>
            </w:tcBorders>
            <w:tcMar>
              <w:top w:w="100.0" w:type="dxa"/>
              <w:left w:w="160.0" w:type="dxa"/>
              <w:bottom w:w="100.0" w:type="dxa"/>
              <w:right w:w="160.0" w:type="dxa"/>
            </w:tcMar>
            <w:vAlign w:val="top"/>
          </w:tcPr>
          <w:p w:rsidR="00000000" w:rsidDel="00000000" w:rsidP="00000000" w:rsidRDefault="00000000" w:rsidRPr="00000000" w14:paraId="00000041">
            <w:pPr>
              <w:spacing w:after="160" w:lineRule="auto"/>
              <w:rPr>
                <w:b w:val="1"/>
                <w:bCs w:val="1"/>
              </w:rPr>
            </w:pPr>
            <w:r w:rsidDel="00000000" w:rsidR="00000000" w:rsidRPr="00000000">
              <w:rPr>
                <w:b w:val="1"/>
                <w:bCs w:val="1"/>
                <w:rtl w:val="0"/>
              </w:rPr>
              <w:t xml:space="preserve">25% del Total</w:t>
              <w:br w:type="textWrapping"/>
              <w:t xml:space="preserve"> $750.00 USD</w:t>
              <w:br w:type="textWrapping"/>
              <w:t xml:space="preserve"> (Q5,850.00)</w:t>
              <w:br w:type="textWrapping"/>
              <w:t xml:space="preserve"> Al Iniciar Pruebas</w:t>
            </w:r>
          </w:p>
        </w:tc>
      </w:tr>
      <w:tr>
        <w:trPr>
          <w:cantSplit w:val="0"/>
          <w:trHeight w:val="3960" w:hRule="atLeast"/>
          <w:tblHeader w:val="0"/>
        </w:trPr>
        <w:tc>
          <w:tcPr>
            <w:tcBorders>
              <w:top w:color="000000" w:space="0" w:sz="0" w:val="nil"/>
              <w:left w:color="e0e0e0" w:space="0" w:sz="9" w:val="single"/>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42">
            <w:pPr>
              <w:spacing w:after="160" w:lineRule="auto"/>
              <w:rPr>
                <w:b w:val="1"/>
                <w:bCs w:val="1"/>
              </w:rPr>
            </w:pPr>
            <w:r w:rsidDel="00000000" w:rsidR="00000000" w:rsidRPr="00000000">
              <w:rPr>
                <w:b w:val="1"/>
                <w:bCs w:val="1"/>
                <w:rtl w:val="0"/>
              </w:rPr>
              <w:t xml:space="preserve">Hito 4: Despliegue y Plan de Capacitación</w:t>
            </w:r>
          </w:p>
        </w:tc>
        <w:tc>
          <w:tcPr>
            <w:tcBorders>
              <w:top w:color="000000" w:space="0" w:sz="0" w:val="nil"/>
              <w:left w:color="000000" w:space="0" w:sz="0" w:val="nil"/>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43">
            <w:pPr>
              <w:spacing w:after="160" w:lineRule="auto"/>
              <w:rPr/>
            </w:pPr>
            <w:r w:rsidDel="00000000" w:rsidR="00000000" w:rsidRPr="00000000">
              <w:rPr>
                <w:rtl w:val="0"/>
              </w:rPr>
              <w:t xml:space="preserve">13 hrs</w:t>
            </w:r>
          </w:p>
        </w:tc>
        <w:tc>
          <w:tcPr>
            <w:tcBorders>
              <w:top w:color="000000" w:space="0" w:sz="0" w:val="nil"/>
              <w:left w:color="000000" w:space="0" w:sz="0" w:val="nil"/>
              <w:bottom w:color="e0e0e0" w:space="0" w:sz="9" w:val="single"/>
              <w:right w:color="000000" w:space="0" w:sz="0" w:val="nil"/>
            </w:tcBorders>
            <w:shd w:fill="f7fafc" w:val="clear"/>
            <w:tcMar>
              <w:top w:w="100.0" w:type="dxa"/>
              <w:left w:w="160.0" w:type="dxa"/>
              <w:bottom w:w="100.0" w:type="dxa"/>
              <w:right w:w="160.0" w:type="dxa"/>
            </w:tcMar>
            <w:vAlign w:val="top"/>
          </w:tcPr>
          <w:p w:rsidR="00000000" w:rsidDel="00000000" w:rsidP="00000000" w:rsidRDefault="00000000" w:rsidRPr="00000000" w14:paraId="00000044">
            <w:pPr>
              <w:spacing w:after="160" w:lineRule="auto"/>
              <w:rPr/>
            </w:pPr>
            <w:r w:rsidDel="00000000" w:rsidR="00000000" w:rsidRPr="00000000">
              <w:rPr>
                <w:rtl w:val="0"/>
              </w:rPr>
              <w:t xml:space="preserve">Paso definitivo del software validado a producción (Go-Live). Entrega de sesiones virtuales de capacitación en vivo con los encargados de las bodegas locales para la adopción inmediata. Inicio del soporte prioritario de 2 semanas.</w:t>
            </w:r>
          </w:p>
        </w:tc>
        <w:tc>
          <w:tcPr>
            <w:tcBorders>
              <w:top w:color="000000" w:space="0" w:sz="0" w:val="nil"/>
              <w:left w:color="000000" w:space="0" w:sz="0" w:val="nil"/>
              <w:bottom w:color="e0e0e0" w:space="0" w:sz="9" w:val="single"/>
              <w:right w:color="e0e0e0" w:space="0" w:sz="9" w:val="single"/>
            </w:tcBorders>
            <w:shd w:fill="f7fafc" w:val="clear"/>
            <w:tcMar>
              <w:top w:w="100.0" w:type="dxa"/>
              <w:left w:w="160.0" w:type="dxa"/>
              <w:bottom w:w="100.0" w:type="dxa"/>
              <w:right w:w="160.0" w:type="dxa"/>
            </w:tcMar>
            <w:vAlign w:val="top"/>
          </w:tcPr>
          <w:p w:rsidR="00000000" w:rsidDel="00000000" w:rsidP="00000000" w:rsidRDefault="00000000" w:rsidRPr="00000000" w14:paraId="00000045">
            <w:pPr>
              <w:spacing w:after="160" w:lineRule="auto"/>
              <w:rPr>
                <w:b w:val="1"/>
                <w:bCs w:val="1"/>
              </w:rPr>
            </w:pPr>
            <w:r w:rsidDel="00000000" w:rsidR="00000000" w:rsidRPr="00000000">
              <w:rPr>
                <w:b w:val="1"/>
                <w:bCs w:val="1"/>
                <w:rtl w:val="0"/>
              </w:rPr>
              <w:t xml:space="preserve">15% del Total</w:t>
              <w:br w:type="textWrapping"/>
              <w:t xml:space="preserve"> $450.00 USD</w:t>
              <w:br w:type="textWrapping"/>
              <w:t xml:space="preserve"> (Q3,510.00)</w:t>
              <w:br w:type="textWrapping"/>
              <w:t xml:space="preserve"> Cierre de Proyecto</w:t>
            </w:r>
          </w:p>
        </w:tc>
      </w:tr>
    </w:tbl>
    <w:p w:rsidR="00000000" w:rsidDel="00000000" w:rsidP="00000000" w:rsidRDefault="00000000" w:rsidRPr="00000000" w14:paraId="00000046">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6. Modelos de Contratación Comercial: Planes de Servicio</w:t>
      </w:r>
    </w:p>
    <w:p w:rsidR="00000000" w:rsidDel="00000000" w:rsidP="00000000" w:rsidRDefault="00000000" w:rsidRPr="00000000" w14:paraId="00000047">
      <w:pPr>
        <w:spacing w:after="160" w:lineRule="auto"/>
        <w:rPr/>
      </w:pPr>
      <w:r w:rsidDel="00000000" w:rsidR="00000000" w:rsidRPr="00000000">
        <w:rPr>
          <w:rtl w:val="0"/>
        </w:rPr>
        <w:t xml:space="preserve">La inversión fija inicial por el desarrollo técnico e implementación llave en mano del Módulo de Inventario es de $3,000.00 USD (Aproximadamente Q23,400.00 netos). Para la fase operativa posterior al lanzamiento, se estructuran dos modalidades comerciales de licenciamiento SaaS por volumen de locales, adaptadas a la capacidad operativa del cliente:</w:t>
      </w:r>
    </w:p>
    <w:p w:rsidR="00000000" w:rsidDel="00000000" w:rsidP="00000000" w:rsidRDefault="00000000" w:rsidRPr="00000000" w14:paraId="00000048">
      <w:pPr>
        <w:spacing w:after="120" w:before="280" w:lineRule="auto"/>
        <w:rPr>
          <w:b w:val="1"/>
          <w:bCs w:val="1"/>
          <w:color w:val="2b6cb0"/>
          <w:sz w:val="28"/>
          <w:szCs w:val="28"/>
        </w:rPr>
      </w:pPr>
      <w:r w:rsidDel="00000000" w:rsidR="00000000" w:rsidRPr="00000000">
        <w:rPr>
          <w:b w:val="1"/>
          <w:bCs w:val="1"/>
          <w:color w:val="2b6cb0"/>
          <w:sz w:val="28"/>
          <w:szCs w:val="28"/>
          <w:rtl w:val="0"/>
        </w:rPr>
        <w:t xml:space="preserve">Opción A: Plan Estándar (Gestión de Infraestructura por el Cliente)</w:t>
      </w:r>
    </w:p>
    <w:p w:rsidR="00000000" w:rsidDel="00000000" w:rsidP="00000000" w:rsidRDefault="00000000" w:rsidRPr="00000000" w14:paraId="00000049">
      <w:pPr>
        <w:spacing w:after="160" w:lineRule="auto"/>
        <w:rPr/>
      </w:pPr>
      <w:r w:rsidDel="00000000" w:rsidR="00000000" w:rsidRPr="00000000">
        <w:rPr>
          <w:b w:val="1"/>
          <w:bCs w:val="1"/>
          <w:rtl w:val="0"/>
        </w:rPr>
        <w:t xml:space="preserve">• Costo de Membresía Mensual: </w:t>
      </w:r>
      <w:r w:rsidDel="00000000" w:rsidR="00000000" w:rsidRPr="00000000">
        <w:rPr>
          <w:rtl w:val="0"/>
        </w:rPr>
        <w:t xml:space="preserve">$200.00 USD al mes por local (Total 23 locales = $4,600.00 USD mensuales de licenciamiento SaaS).</w:t>
        <w:br w:type="textWrapping"/>
        <w:t xml:space="preserve"> </w:t>
      </w:r>
      <w:r w:rsidDel="00000000" w:rsidR="00000000" w:rsidRPr="00000000">
        <w:rPr>
          <w:b w:val="1"/>
          <w:bCs w:val="1"/>
          <w:rtl w:val="0"/>
        </w:rPr>
        <w:t xml:space="preserve">• Alcance del Servicio: </w:t>
      </w:r>
      <w:r w:rsidDel="00000000" w:rsidR="00000000" w:rsidRPr="00000000">
        <w:rPr>
          <w:rtl w:val="0"/>
        </w:rPr>
        <w:t xml:space="preserve">Concede acceso ilimitado a las funcionalidades del software para un usuario de cada rol definido por sucursal. Incluye una ventana de soporte crítico de dos (2) semanas post-lanzamiento para correcciones funcionales.</w:t>
        <w:br w:type="textWrapping"/>
      </w:r>
      <w:r w:rsidDel="00000000" w:rsidR="00000000" w:rsidRPr="00000000">
        <w:rPr>
          <w:b w:val="1"/>
          <w:bCs w:val="1"/>
          <w:rtl w:val="0"/>
        </w:rPr>
        <w:t xml:space="preserve"> • Responsabilidad Técnica: </w:t>
      </w:r>
      <w:r w:rsidDel="00000000" w:rsidR="00000000" w:rsidRPr="00000000">
        <w:rPr>
          <w:rtl w:val="0"/>
        </w:rPr>
        <w:t xml:space="preserve">El cliente asume la responsabilidad total del monitoreo de caídas de servidores, parches de bases de datos, administración de consolas en la nube y la facturación directa de los consumos del stack tecnológico detallados en la sección 4.</w:t>
      </w:r>
    </w:p>
    <w:p w:rsidR="00000000" w:rsidDel="00000000" w:rsidP="00000000" w:rsidRDefault="00000000" w:rsidRPr="00000000" w14:paraId="0000004A">
      <w:pPr>
        <w:spacing w:after="120" w:before="280" w:lineRule="auto"/>
        <w:rPr>
          <w:b w:val="1"/>
          <w:bCs w:val="1"/>
          <w:color w:val="2b6cb0"/>
          <w:sz w:val="28"/>
          <w:szCs w:val="28"/>
        </w:rPr>
      </w:pPr>
      <w:r w:rsidDel="00000000" w:rsidR="00000000" w:rsidRPr="00000000">
        <w:rPr>
          <w:b w:val="1"/>
          <w:bCs w:val="1"/>
          <w:color w:val="2b6cb0"/>
          <w:sz w:val="28"/>
          <w:szCs w:val="28"/>
          <w:rtl w:val="0"/>
        </w:rPr>
        <w:t xml:space="preserve">Opción B: Plan Administrado Premium (Gestión Cloud Llave en Mano por Keystone)</w:t>
      </w:r>
    </w:p>
    <w:p w:rsidR="00000000" w:rsidDel="00000000" w:rsidP="00000000" w:rsidRDefault="00000000" w:rsidRPr="00000000" w14:paraId="0000004B">
      <w:pPr>
        <w:spacing w:after="160" w:lineRule="auto"/>
        <w:rPr/>
      </w:pPr>
      <w:r w:rsidDel="00000000" w:rsidR="00000000" w:rsidRPr="00000000">
        <w:rPr>
          <w:b w:val="1"/>
          <w:bCs w:val="1"/>
          <w:rtl w:val="0"/>
        </w:rPr>
        <w:t xml:space="preserve">• Costo de Membresía Mensual: </w:t>
      </w:r>
      <w:r w:rsidDel="00000000" w:rsidR="00000000" w:rsidRPr="00000000">
        <w:rPr>
          <w:rtl w:val="0"/>
        </w:rPr>
        <w:t xml:space="preserve">$200.00 USD al mes por local + 45% de Recargo sobre la Infraestructura Cloud Administrada.</w:t>
        <w:br w:type="textWrapping"/>
        <w:t xml:space="preserve"> </w:t>
      </w:r>
      <w:r w:rsidDel="00000000" w:rsidR="00000000" w:rsidRPr="00000000">
        <w:rPr>
          <w:b w:val="1"/>
          <w:bCs w:val="1"/>
          <w:rtl w:val="0"/>
        </w:rPr>
        <w:t xml:space="preserve">• Detalle del Recargo por Gestión: </w:t>
      </w:r>
      <w:r w:rsidDel="00000000" w:rsidR="00000000" w:rsidRPr="00000000">
        <w:rPr>
          <w:rtl w:val="0"/>
        </w:rPr>
        <w:t xml:space="preserve">Keystone absorbe la administración y la facturación directa del consumo de servidores en sus consolas corporativas. Tomando como base un consumo cloud de $150.00 USD mensuales de infraestructura base, el recargo del 45% por administración ($67.50 USD) fija la tarifa de gestión de servidores en $202.50 USD, consolidando un pago mensual total unificado de </w:t>
      </w:r>
      <w:r w:rsidDel="00000000" w:rsidR="00000000" w:rsidRPr="00000000">
        <w:rPr>
          <w:b w:val="1"/>
          <w:bCs w:val="1"/>
          <w:rtl w:val="0"/>
        </w:rPr>
        <w:t xml:space="preserve">$4,817.50 USD mensuales</w:t>
      </w:r>
      <w:r w:rsidDel="00000000" w:rsidR="00000000" w:rsidRPr="00000000">
        <w:rPr>
          <w:rtl w:val="0"/>
        </w:rPr>
        <w:t xml:space="preserve"> por toda la plataforma corporativa (Licenciamiento SaaS de las 23 agencias + Infraestructura 100% Administrada por Keystone).</w:t>
        <w:br w:type="textWrapping"/>
      </w:r>
      <w:r w:rsidDel="00000000" w:rsidR="00000000" w:rsidRPr="00000000">
        <w:rPr>
          <w:b w:val="1"/>
          <w:bCs w:val="1"/>
          <w:rtl w:val="0"/>
        </w:rPr>
        <w:t xml:space="preserve"> • Alcance Premium: </w:t>
      </w:r>
      <w:r w:rsidDel="00000000" w:rsidR="00000000" w:rsidRPr="00000000">
        <w:rPr>
          <w:rtl w:val="0"/>
        </w:rPr>
        <w:t xml:space="preserve">Monitoreo de disponibilidad 24/7 de la base de datos PostgreSQL, soporte técnico prioritario continuo mensual de nivel L2/L3 para incidencias, mantenimiento correctivo de servidores, automatización de políticas de respaldo (backups) georreferenciados y la entrega del manual operativo por rol en formato digital PDF indexado.</w:t>
      </w:r>
    </w:p>
    <w:p w:rsidR="00000000" w:rsidDel="00000000" w:rsidP="00000000" w:rsidRDefault="00000000" w:rsidRPr="00000000" w14:paraId="0000004C">
      <w:pPr>
        <w:spacing w:after="160" w:before="360" w:lineRule="auto"/>
        <w:rPr>
          <w:b w:val="1"/>
          <w:bCs w:val="1"/>
          <w:color w:val="1a365d"/>
          <w:sz w:val="36"/>
          <w:szCs w:val="36"/>
        </w:rPr>
      </w:pPr>
      <w:r w:rsidDel="00000000" w:rsidR="00000000" w:rsidRPr="00000000">
        <w:rPr>
          <w:b w:val="1"/>
          <w:bCs w:val="1"/>
          <w:color w:val="1a365d"/>
          <w:sz w:val="36"/>
          <w:szCs w:val="36"/>
          <w:rtl w:val="0"/>
        </w:rPr>
        <w:t xml:space="preserve">7. Blindaje Contractual y Matriz de Pruebas UAT</w:t>
      </w:r>
    </w:p>
    <w:p w:rsidR="00000000" w:rsidDel="00000000" w:rsidP="00000000" w:rsidRDefault="00000000" w:rsidRPr="00000000" w14:paraId="0000004D">
      <w:pPr>
        <w:spacing w:after="160" w:lineRule="auto"/>
        <w:rPr/>
      </w:pPr>
      <w:r w:rsidDel="00000000" w:rsidR="00000000" w:rsidRPr="00000000">
        <w:rPr>
          <w:rtl w:val="0"/>
        </w:rPr>
        <w:t xml:space="preserve">El proceso de aseguramiento de calidad y control contractual se regirá estrictamente bajo las siguientes cláusulas del protocolo corporativo de Keystone:</w:t>
      </w:r>
    </w:p>
    <w:p w:rsidR="00000000" w:rsidDel="00000000" w:rsidP="00000000" w:rsidRDefault="00000000" w:rsidRPr="00000000" w14:paraId="0000004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Checklist Manual de Pruebas de Aceptación (UAT): </w:t>
      </w:r>
      <w:r w:rsidDel="00000000" w:rsidR="00000000" w:rsidRPr="00000000">
        <w:rPr>
          <w:rtl w:val="0"/>
        </w:rPr>
        <w:t xml:space="preserve">Las pruebas de aceptación en Staging se limitarán taxativamente a una ventana improrrogable de 5 días hábiles guiada por dos usuarios clave (Administrador Global y Encargado de Bodega Central). Se validará el control de acceso JWT, el rechazo controlado de plantillas de Excel con errores estructurales, lecturas del escáner híbrido en &lt;1 seg y el doble factor en el ingreso de traslados interagencias.</w:t>
      </w:r>
    </w:p>
    <w:p w:rsidR="00000000" w:rsidDel="00000000" w:rsidP="00000000" w:rsidRDefault="00000000" w:rsidRPr="00000000" w14:paraId="0000004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Cláusula de Control de Cambios Estricto: </w:t>
      </w:r>
      <w:r w:rsidDel="00000000" w:rsidR="00000000" w:rsidRPr="00000000">
        <w:rPr>
          <w:rtl w:val="0"/>
        </w:rPr>
        <w:t xml:space="preserve">Cualquier funcionalidad fuera de este documento o la reactivación del módulo de compras se tratará como un requerimiento adicional (Change Request) cotizado bajo la tarifa fija de Q200.00 por hora hombre de ingeniería.</w:t>
      </w:r>
    </w:p>
    <w:p w:rsidR="00000000" w:rsidDel="00000000" w:rsidP="00000000" w:rsidRDefault="00000000" w:rsidRPr="00000000" w14:paraId="0000005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Cláusula de Suspensión por Impago de Suscripción: </w:t>
      </w:r>
      <w:r w:rsidDel="00000000" w:rsidR="00000000" w:rsidRPr="00000000">
        <w:rPr>
          <w:rtl w:val="0"/>
        </w:rPr>
        <w:t xml:space="preserve">El retraso de más de 5 días hábiles posteriores a la fecha de corte mensual facultará a Keystone para realizar la suspensión inmediata y el apagado del entorno cloud de producción (AWS/Render), bloqueando los accesos a los entornos operativos sin responsabilidad legal por interrupción del negocio.</w:t>
      </w:r>
    </w:p>
    <w:p w:rsidR="00000000" w:rsidDel="00000000" w:rsidP="00000000" w:rsidRDefault="00000000" w:rsidRPr="00000000" w14:paraId="00000051">
      <w:pPr>
        <w:spacing w:after="1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Feature Freeze UAT: </w:t>
      </w:r>
      <w:r w:rsidDel="00000000" w:rsidR="00000000" w:rsidRPr="00000000">
        <w:rPr>
          <w:rtl w:val="0"/>
        </w:rPr>
        <w:t xml:space="preserve">Al desplegar en Staging para el Hito 3, se decreta el congelamiento absoluto de código; las iteraciones se limitarán exclusivamente a la corrección de errores (bugs) sobre lo ya programado, posponiendo nuevas ideas de diseño para una versión v2.1 posterior.</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