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2"/>
        </w:rPr>
        <w:t>ANÁLISIS ESTRATÉGICO</w:t>
        <w:br/>
        <w:t>3 CUENTAS MERCADOLIBRE</w:t>
      </w:r>
    </w:p>
    <w:p>
      <w:pPr>
        <w:jc w:val="center"/>
      </w:pPr>
      <w:r>
        <w:rPr>
          <w:i/>
          <w:sz w:val="24"/>
        </w:rPr>
        <w:t>PREMIUMGRIFERIAS1 (C1) · VICTTORINOOFICIAL2 (C2) · NOVAGRIFERIAS3 (C3)</w:t>
      </w:r>
    </w:p>
    <w:p>
      <w:pPr>
        <w:jc w:val="center"/>
      </w:pPr>
      <w:r>
        <w:rPr>
          <w:sz w:val="22"/>
        </w:rPr>
        <w:br/>
        <w:t>Fecha: 2026-05-25  |  Pregunta clave: ¿vale la pena mantener 3 cuentas?</w:t>
      </w:r>
    </w:p>
    <w:p/>
    <w:p>
      <w:pPr>
        <w:pStyle w:val="Heading1"/>
      </w:pPr>
      <w:r>
        <w:rPr>
          <w:color w:val="1F4E78"/>
        </w:rPr>
        <w:t>TL;DR — Respuesta directa</w:t>
      </w:r>
    </w:p>
    <w:p>
      <w:pPr>
        <w:spacing w:after="80"/>
      </w:pPr>
      <w:r>
        <w:rPr>
          <w:rFonts w:ascii="Calibri" w:hAnsi="Calibri"/>
          <w:b/>
          <w:i w:val="0"/>
          <w:sz w:val="22"/>
        </w:rPr>
        <w:t>Como están hoy, NO. Las 3 cuentas se canibalizan mutuamente en el 65% del catálogo, generando GMV redundante (no incremental) y triplicando costos operativos sin triplicar resultados.</w:t>
      </w:r>
    </w:p>
    <w:p>
      <w:pPr>
        <w:spacing w:after="80"/>
      </w:pPr>
      <w:r>
        <w:rPr>
          <w:rFonts w:ascii="Calibri" w:hAnsi="Calibri"/>
          <w:b w:val="0"/>
          <w:i w:val="0"/>
          <w:sz w:val="22"/>
        </w:rPr>
      </w:r>
    </w:p>
    <w:p>
      <w:pPr>
        <w:spacing w:after="80"/>
      </w:pPr>
      <w:r>
        <w:rPr>
          <w:rFonts w:ascii="Calibri" w:hAnsi="Calibri"/>
          <w:b/>
          <w:i w:val="0"/>
          <w:sz w:val="22"/>
        </w:rPr>
        <w:t>Hay 3 caminos posibles. Recomiendo el HÍBRIDO C (segmentación verdadera) por estos motivos:</w:t>
      </w:r>
    </w:p>
    <w:p>
      <w:pPr>
        <w:pStyle w:val="ListBullet"/>
      </w:pPr>
      <w:r>
        <w:rPr>
          <w:sz w:val="22"/>
        </w:rPr>
        <w:t>Tenés 3 equipos dedicados — desaprovecharlos consolidando todo en 1 cuenta es perder capacidad operativa</w:t>
      </w:r>
    </w:p>
    <w:p>
      <w:pPr>
        <w:pStyle w:val="ListBullet"/>
      </w:pPr>
      <w:r>
        <w:rPr>
          <w:sz w:val="22"/>
        </w:rPr>
        <w:t>Sin barreras legales/contables para mover entre cuentas — flexibilidad total</w:t>
      </w:r>
    </w:p>
    <w:p>
      <w:pPr>
        <w:pStyle w:val="ListBullet"/>
      </w:pPr>
      <w:r>
        <w:rPr>
          <w:sz w:val="22"/>
        </w:rPr>
        <w:t>La canibalización es resolvible con disciplina de catálogos NO solapados, no requiere cerrar cuentas</w:t>
      </w:r>
    </w:p>
    <w:p>
      <w:pPr>
        <w:pStyle w:val="ListBullet"/>
      </w:pPr>
      <w:r>
        <w:rPr>
          <w:sz w:val="22"/>
        </w:rPr>
        <w:t>Mantenés diversificación de riesgo (si una cuenta cae, no caen todas)</w:t>
      </w:r>
    </w:p>
    <w:p>
      <w:pPr>
        <w:pStyle w:val="ListBullet"/>
      </w:pPr>
      <w:r>
        <w:rPr>
          <w:sz w:val="22"/>
        </w:rPr>
        <w:t>3 advertisers ML Ads disponibles = más slots de presupuesto y campañas focalizadas</w:t>
      </w:r>
    </w:p>
    <w:p>
      <w:r>
        <w:br w:type="page"/>
      </w:r>
    </w:p>
    <w:p>
      <w:pPr>
        <w:pStyle w:val="Heading1"/>
      </w:pPr>
      <w:r>
        <w:rPr>
          <w:color w:val="1F4E78"/>
        </w:rPr>
        <w:t>1. Diagnóstico de la situación actual</w:t>
      </w:r>
    </w:p>
    <w:p>
      <w:pPr>
        <w:pStyle w:val="Heading2"/>
      </w:pPr>
      <w:r>
        <w:rPr>
          <w:color w:val="1F4E78"/>
        </w:rPr>
        <w:t>1.1. Estructura del catálogo</w:t>
      </w:r>
    </w:p>
    <w:p>
      <w:pPr>
        <w:spacing w:after="80"/>
      </w:pPr>
      <w:r>
        <w:rPr>
          <w:rFonts w:ascii="Calibri" w:hAnsi="Calibri"/>
          <w:b w:val="0"/>
          <w:i w:val="0"/>
          <w:sz w:val="22"/>
        </w:rPr>
        <w:t>Las 3 cuentas suman 530 publicaciones activas, pero solo 120 productos únicos. Es decir, hay un ratio de 4.42x duplicación: por cada producto real, existen ~4.4 publicaciones distintas en tu catálogo.</w:t>
      </w:r>
    </w:p>
    <w:tbl>
      <w:tblPr>
        <w:tblStyle w:val="LightGrid-Accent1"/>
        <w:tblW w:type="auto" w:w="0"/>
        <w:tblLook w:firstColumn="1" w:firstRow="1" w:lastColumn="0" w:lastRow="0" w:noHBand="0" w:noVBand="1" w:val="04A0"/>
      </w:tblPr>
      <w:tblGrid>
        <w:gridCol w:w="3312"/>
        <w:gridCol w:w="3312"/>
        <w:gridCol w:w="3312"/>
      </w:tblGrid>
      <w:tr>
        <w:tc>
          <w:tcPr>
            <w:tcW w:type="dxa" w:w="3312"/>
            <w:shd w:val="clear" w:color="auto" w:fill="1F4E78"/>
          </w:tcPr>
          <w:p>
            <w:r>
              <w:rPr>
                <w:b/>
                <w:color w:val="FFFFFF"/>
                <w:sz w:val="20"/>
              </w:rPr>
              <w:t>Categoría</w:t>
            </w:r>
          </w:p>
        </w:tc>
        <w:tc>
          <w:tcPr>
            <w:tcW w:type="dxa" w:w="3312"/>
            <w:shd w:val="clear" w:color="auto" w:fill="1F4E78"/>
          </w:tcPr>
          <w:p>
            <w:r>
              <w:rPr>
                <w:b/>
                <w:color w:val="FFFFFF"/>
                <w:sz w:val="20"/>
              </w:rPr>
              <w:t>Productos únicos</w:t>
            </w:r>
          </w:p>
        </w:tc>
        <w:tc>
          <w:tcPr>
            <w:tcW w:type="dxa" w:w="3312"/>
            <w:shd w:val="clear" w:color="auto" w:fill="1F4E78"/>
          </w:tcPr>
          <w:p>
            <w:r>
              <w:rPr>
                <w:b/>
                <w:color w:val="FFFFFF"/>
                <w:sz w:val="20"/>
              </w:rPr>
              <w:t>% del total</w:t>
            </w:r>
          </w:p>
        </w:tc>
      </w:tr>
      <w:tr>
        <w:tc>
          <w:tcPr>
            <w:tcW w:type="dxa" w:w="3312"/>
          </w:tcPr>
          <w:p>
            <w:r>
              <w:rPr>
                <w:sz w:val="20"/>
              </w:rPr>
              <w:t>Solo en 1 cuenta (sin canibalización)</w:t>
            </w:r>
          </w:p>
        </w:tc>
        <w:tc>
          <w:tcPr>
            <w:tcW w:type="dxa" w:w="3312"/>
          </w:tcPr>
          <w:p>
            <w:r>
              <w:rPr>
                <w:sz w:val="20"/>
              </w:rPr>
              <w:t>43</w:t>
            </w:r>
          </w:p>
        </w:tc>
        <w:tc>
          <w:tcPr>
            <w:tcW w:type="dxa" w:w="3312"/>
          </w:tcPr>
          <w:p>
            <w:r>
              <w:rPr>
                <w:sz w:val="20"/>
              </w:rPr>
              <w:t>36%</w:t>
            </w:r>
          </w:p>
        </w:tc>
      </w:tr>
      <w:tr>
        <w:tc>
          <w:tcPr>
            <w:tcW w:type="dxa" w:w="3312"/>
          </w:tcPr>
          <w:p>
            <w:r>
              <w:rPr>
                <w:sz w:val="20"/>
              </w:rPr>
              <w:t>En 2 cuentas (canibalización media)</w:t>
            </w:r>
          </w:p>
        </w:tc>
        <w:tc>
          <w:tcPr>
            <w:tcW w:type="dxa" w:w="3312"/>
          </w:tcPr>
          <w:p>
            <w:r>
              <w:rPr>
                <w:sz w:val="20"/>
              </w:rPr>
              <w:t>38</w:t>
            </w:r>
          </w:p>
        </w:tc>
        <w:tc>
          <w:tcPr>
            <w:tcW w:type="dxa" w:w="3312"/>
          </w:tcPr>
          <w:p>
            <w:r>
              <w:rPr>
                <w:sz w:val="20"/>
              </w:rPr>
              <w:t>32%</w:t>
            </w:r>
          </w:p>
        </w:tc>
      </w:tr>
      <w:tr>
        <w:tc>
          <w:tcPr>
            <w:tcW w:type="dxa" w:w="3312"/>
          </w:tcPr>
          <w:p>
            <w:r>
              <w:rPr>
                <w:sz w:val="20"/>
              </w:rPr>
              <w:t>En 3 cuentas (canibalización máxima)</w:t>
            </w:r>
          </w:p>
        </w:tc>
        <w:tc>
          <w:tcPr>
            <w:tcW w:type="dxa" w:w="3312"/>
          </w:tcPr>
          <w:p>
            <w:r>
              <w:rPr>
                <w:sz w:val="20"/>
              </w:rPr>
              <w:t>39</w:t>
            </w:r>
          </w:p>
        </w:tc>
        <w:tc>
          <w:tcPr>
            <w:tcW w:type="dxa" w:w="3312"/>
          </w:tcPr>
          <w:p>
            <w:r>
              <w:rPr>
                <w:sz w:val="20"/>
              </w:rPr>
              <w:t>32%</w:t>
            </w:r>
          </w:p>
        </w:tc>
      </w:tr>
    </w:tbl>
    <w:p>
      <w:pPr>
        <w:spacing w:after="80"/>
      </w:pPr>
      <w:r>
        <w:rPr>
          <w:rFonts w:ascii="Calibri" w:hAnsi="Calibri"/>
          <w:b w:val="0"/>
          <w:i/>
          <w:color w:val="D47B1B"/>
          <w:sz w:val="22"/>
        </w:rPr>
        <w:t>Implicación: 64% de tus productos están duplicados en &gt;=2 cuentas. ML penaliza esto porque elige UN listing por búsqueda y oculta los demás — los demás son 'fantasmas' que ocupan inventario sin generar.</w:t>
      </w:r>
    </w:p>
    <w:p>
      <w:pPr>
        <w:pStyle w:val="Heading2"/>
      </w:pPr>
      <w:r>
        <w:rPr>
          <w:color w:val="1F4E78"/>
        </w:rPr>
        <w:t>1.2. Performance comparada por cuenta</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1F4E78"/>
          </w:tcPr>
          <w:p>
            <w:r>
              <w:rPr>
                <w:b/>
                <w:color w:val="FFFFFF"/>
                <w:sz w:val="20"/>
              </w:rPr>
              <w:t>Métrica</w:t>
            </w:r>
          </w:p>
        </w:tc>
        <w:tc>
          <w:tcPr>
            <w:tcW w:type="dxa" w:w="2484"/>
            <w:shd w:val="clear" w:color="auto" w:fill="1F4E78"/>
          </w:tcPr>
          <w:p>
            <w:r>
              <w:rPr>
                <w:b/>
                <w:color w:val="FFFFFF"/>
                <w:sz w:val="20"/>
              </w:rPr>
              <w:t>C1</w:t>
            </w:r>
          </w:p>
        </w:tc>
        <w:tc>
          <w:tcPr>
            <w:tcW w:type="dxa" w:w="2484"/>
            <w:shd w:val="clear" w:color="auto" w:fill="1F4E78"/>
          </w:tcPr>
          <w:p>
            <w:r>
              <w:rPr>
                <w:b/>
                <w:color w:val="FFFFFF"/>
                <w:sz w:val="20"/>
              </w:rPr>
              <w:t>C2</w:t>
            </w:r>
          </w:p>
        </w:tc>
        <w:tc>
          <w:tcPr>
            <w:tcW w:type="dxa" w:w="2484"/>
            <w:shd w:val="clear" w:color="auto" w:fill="1F4E78"/>
          </w:tcPr>
          <w:p>
            <w:r>
              <w:rPr>
                <w:b/>
                <w:color w:val="FFFFFF"/>
                <w:sz w:val="20"/>
              </w:rPr>
              <w:t>C3</w:t>
            </w:r>
          </w:p>
        </w:tc>
      </w:tr>
      <w:tr>
        <w:tc>
          <w:tcPr>
            <w:tcW w:type="dxa" w:w="2484"/>
          </w:tcPr>
          <w:p>
            <w:r>
              <w:rPr>
                <w:sz w:val="20"/>
              </w:rPr>
              <w:t>Items activos</w:t>
            </w:r>
          </w:p>
        </w:tc>
        <w:tc>
          <w:tcPr>
            <w:tcW w:type="dxa" w:w="2484"/>
          </w:tcPr>
          <w:p>
            <w:r>
              <w:rPr>
                <w:sz w:val="20"/>
              </w:rPr>
              <w:t>166</w:t>
            </w:r>
          </w:p>
        </w:tc>
        <w:tc>
          <w:tcPr>
            <w:tcW w:type="dxa" w:w="2484"/>
          </w:tcPr>
          <w:p>
            <w:r>
              <w:rPr>
                <w:sz w:val="20"/>
              </w:rPr>
              <w:t>180</w:t>
            </w:r>
          </w:p>
        </w:tc>
        <w:tc>
          <w:tcPr>
            <w:tcW w:type="dxa" w:w="2484"/>
          </w:tcPr>
          <w:p>
            <w:r>
              <w:rPr>
                <w:sz w:val="20"/>
              </w:rPr>
              <w:t>184</w:t>
            </w:r>
          </w:p>
        </w:tc>
      </w:tr>
      <w:tr>
        <w:tc>
          <w:tcPr>
            <w:tcW w:type="dxa" w:w="2484"/>
          </w:tcPr>
          <w:p>
            <w:r>
              <w:rPr>
                <w:sz w:val="20"/>
              </w:rPr>
              <w:t>Productos únicos solo aquí</w:t>
            </w:r>
          </w:p>
        </w:tc>
        <w:tc>
          <w:tcPr>
            <w:tcW w:type="dxa" w:w="2484"/>
          </w:tcPr>
          <w:p>
            <w:r>
              <w:rPr>
                <w:sz w:val="20"/>
              </w:rPr>
              <w:t>17</w:t>
            </w:r>
          </w:p>
        </w:tc>
        <w:tc>
          <w:tcPr>
            <w:tcW w:type="dxa" w:w="2484"/>
          </w:tcPr>
          <w:p>
            <w:r>
              <w:rPr>
                <w:sz w:val="20"/>
              </w:rPr>
              <w:t>26</w:t>
            </w:r>
          </w:p>
        </w:tc>
        <w:tc>
          <w:tcPr>
            <w:tcW w:type="dxa" w:w="2484"/>
          </w:tcPr>
          <w:p>
            <w:r>
              <w:rPr>
                <w:sz w:val="20"/>
              </w:rPr>
              <w:t>32</w:t>
            </w:r>
          </w:p>
        </w:tc>
      </w:tr>
      <w:tr>
        <w:tc>
          <w:tcPr>
            <w:tcW w:type="dxa" w:w="2484"/>
          </w:tcPr>
          <w:p>
            <w:r>
              <w:rPr>
                <w:sz w:val="20"/>
              </w:rPr>
              <w:t>Productos compartidos con otra</w:t>
            </w:r>
          </w:p>
        </w:tc>
        <w:tc>
          <w:tcPr>
            <w:tcW w:type="dxa" w:w="2484"/>
          </w:tcPr>
          <w:p>
            <w:r>
              <w:rPr>
                <w:sz w:val="20"/>
              </w:rPr>
              <w:t>146</w:t>
            </w:r>
          </w:p>
        </w:tc>
        <w:tc>
          <w:tcPr>
            <w:tcW w:type="dxa" w:w="2484"/>
          </w:tcPr>
          <w:p>
            <w:r>
              <w:rPr>
                <w:sz w:val="20"/>
              </w:rPr>
              <w:t>139</w:t>
            </w:r>
          </w:p>
        </w:tc>
        <w:tc>
          <w:tcPr>
            <w:tcW w:type="dxa" w:w="2484"/>
          </w:tcPr>
          <w:p>
            <w:r>
              <w:rPr>
                <w:sz w:val="20"/>
              </w:rPr>
              <w:t>138</w:t>
            </w:r>
          </w:p>
        </w:tc>
      </w:tr>
      <w:tr>
        <w:tc>
          <w:tcPr>
            <w:tcW w:type="dxa" w:w="2484"/>
          </w:tcPr>
          <w:p>
            <w:r>
              <w:rPr>
                <w:sz w:val="20"/>
              </w:rPr>
              <w:t>Stock total</w:t>
            </w:r>
          </w:p>
        </w:tc>
        <w:tc>
          <w:tcPr>
            <w:tcW w:type="dxa" w:w="2484"/>
          </w:tcPr>
          <w:p>
            <w:r>
              <w:rPr>
                <w:sz w:val="20"/>
              </w:rPr>
              <w:t>1517</w:t>
            </w:r>
          </w:p>
        </w:tc>
        <w:tc>
          <w:tcPr>
            <w:tcW w:type="dxa" w:w="2484"/>
          </w:tcPr>
          <w:p>
            <w:r>
              <w:rPr>
                <w:sz w:val="20"/>
              </w:rPr>
              <w:t>1705</w:t>
            </w:r>
          </w:p>
        </w:tc>
        <w:tc>
          <w:tcPr>
            <w:tcW w:type="dxa" w:w="2484"/>
          </w:tcPr>
          <w:p>
            <w:r>
              <w:rPr>
                <w:sz w:val="20"/>
              </w:rPr>
              <w:t>1552</w:t>
            </w:r>
          </w:p>
        </w:tc>
      </w:tr>
      <w:tr>
        <w:tc>
          <w:tcPr>
            <w:tcW w:type="dxa" w:w="2484"/>
          </w:tcPr>
          <w:p>
            <w:r>
              <w:rPr>
                <w:sz w:val="20"/>
              </w:rPr>
              <w:t>GMV 180d</w:t>
            </w:r>
          </w:p>
        </w:tc>
        <w:tc>
          <w:tcPr>
            <w:tcW w:type="dxa" w:w="2484"/>
          </w:tcPr>
          <w:p>
            <w:r>
              <w:rPr>
                <w:sz w:val="20"/>
              </w:rPr>
              <w:t>$2,366,648</w:t>
            </w:r>
          </w:p>
        </w:tc>
        <w:tc>
          <w:tcPr>
            <w:tcW w:type="dxa" w:w="2484"/>
          </w:tcPr>
          <w:p>
            <w:r>
              <w:rPr>
                <w:sz w:val="20"/>
              </w:rPr>
              <w:t>$3,401,060</w:t>
            </w:r>
          </w:p>
        </w:tc>
        <w:tc>
          <w:tcPr>
            <w:tcW w:type="dxa" w:w="2484"/>
          </w:tcPr>
          <w:p>
            <w:r>
              <w:rPr>
                <w:sz w:val="20"/>
              </w:rPr>
              <w:t>$6,329,285</w:t>
            </w:r>
          </w:p>
        </w:tc>
      </w:tr>
      <w:tr>
        <w:tc>
          <w:tcPr>
            <w:tcW w:type="dxa" w:w="2484"/>
          </w:tcPr>
          <w:p>
            <w:r>
              <w:rPr>
                <w:sz w:val="20"/>
              </w:rPr>
              <w:t>Vendidos 180d (unid)</w:t>
            </w:r>
          </w:p>
        </w:tc>
        <w:tc>
          <w:tcPr>
            <w:tcW w:type="dxa" w:w="2484"/>
          </w:tcPr>
          <w:p>
            <w:r>
              <w:rPr>
                <w:sz w:val="20"/>
              </w:rPr>
              <w:t>122</w:t>
            </w:r>
          </w:p>
        </w:tc>
        <w:tc>
          <w:tcPr>
            <w:tcW w:type="dxa" w:w="2484"/>
          </w:tcPr>
          <w:p>
            <w:r>
              <w:rPr>
                <w:sz w:val="20"/>
              </w:rPr>
              <w:t>142</w:t>
            </w:r>
          </w:p>
        </w:tc>
        <w:tc>
          <w:tcPr>
            <w:tcW w:type="dxa" w:w="2484"/>
          </w:tcPr>
          <w:p>
            <w:r>
              <w:rPr>
                <w:sz w:val="20"/>
              </w:rPr>
              <w:t>236</w:t>
            </w:r>
          </w:p>
        </w:tc>
      </w:tr>
      <w:tr>
        <w:tc>
          <w:tcPr>
            <w:tcW w:type="dxa" w:w="2484"/>
          </w:tcPr>
          <w:p>
            <w:r>
              <w:rPr>
                <w:sz w:val="20"/>
              </w:rPr>
              <w:t>Visitas 30d</w:t>
            </w:r>
          </w:p>
        </w:tc>
        <w:tc>
          <w:tcPr>
            <w:tcW w:type="dxa" w:w="2484"/>
          </w:tcPr>
          <w:p>
            <w:r>
              <w:rPr>
                <w:sz w:val="20"/>
              </w:rPr>
              <w:t>1141</w:t>
            </w:r>
          </w:p>
        </w:tc>
        <w:tc>
          <w:tcPr>
            <w:tcW w:type="dxa" w:w="2484"/>
          </w:tcPr>
          <w:p>
            <w:r>
              <w:rPr>
                <w:sz w:val="20"/>
              </w:rPr>
              <w:t>1574</w:t>
            </w:r>
          </w:p>
        </w:tc>
        <w:tc>
          <w:tcPr>
            <w:tcW w:type="dxa" w:w="2484"/>
          </w:tcPr>
          <w:p>
            <w:r>
              <w:rPr>
                <w:sz w:val="20"/>
              </w:rPr>
              <w:t>3211</w:t>
            </w:r>
          </w:p>
        </w:tc>
      </w:tr>
      <w:tr>
        <w:tc>
          <w:tcPr>
            <w:tcW w:type="dxa" w:w="2484"/>
          </w:tcPr>
          <w:p>
            <w:r>
              <w:rPr>
                <w:sz w:val="20"/>
              </w:rPr>
              <w:t>Health avg</w:t>
            </w:r>
          </w:p>
        </w:tc>
        <w:tc>
          <w:tcPr>
            <w:tcW w:type="dxa" w:w="2484"/>
          </w:tcPr>
          <w:p>
            <w:r>
              <w:rPr>
                <w:sz w:val="20"/>
              </w:rPr>
              <w:t>45.8</w:t>
            </w:r>
          </w:p>
        </w:tc>
        <w:tc>
          <w:tcPr>
            <w:tcW w:type="dxa" w:w="2484"/>
          </w:tcPr>
          <w:p>
            <w:r>
              <w:rPr>
                <w:sz w:val="20"/>
              </w:rPr>
              <w:t>46.2</w:t>
            </w:r>
          </w:p>
        </w:tc>
        <w:tc>
          <w:tcPr>
            <w:tcW w:type="dxa" w:w="2484"/>
          </w:tcPr>
          <w:p>
            <w:r>
              <w:rPr>
                <w:sz w:val="20"/>
              </w:rPr>
              <w:t>54.0</w:t>
            </w:r>
          </w:p>
        </w:tc>
      </w:tr>
      <w:tr>
        <w:tc>
          <w:tcPr>
            <w:tcW w:type="dxa" w:w="2484"/>
          </w:tcPr>
          <w:p>
            <w:r>
              <w:rPr>
                <w:sz w:val="20"/>
              </w:rPr>
              <w:t>Tx completadas (histórico)</w:t>
            </w:r>
          </w:p>
        </w:tc>
        <w:tc>
          <w:tcPr>
            <w:tcW w:type="dxa" w:w="2484"/>
          </w:tcPr>
          <w:p>
            <w:r>
              <w:rPr>
                <w:sz w:val="20"/>
              </w:rPr>
              <w:t>630</w:t>
            </w:r>
          </w:p>
        </w:tc>
        <w:tc>
          <w:tcPr>
            <w:tcW w:type="dxa" w:w="2484"/>
          </w:tcPr>
          <w:p>
            <w:r>
              <w:rPr>
                <w:sz w:val="20"/>
              </w:rPr>
              <w:t>496</w:t>
            </w:r>
          </w:p>
        </w:tc>
        <w:tc>
          <w:tcPr>
            <w:tcW w:type="dxa" w:w="2484"/>
          </w:tcPr>
          <w:p>
            <w:r>
              <w:rPr>
                <w:sz w:val="20"/>
              </w:rPr>
              <w:t>546</w:t>
            </w:r>
          </w:p>
        </w:tc>
      </w:tr>
      <w:tr>
        <w:tc>
          <w:tcPr>
            <w:tcW w:type="dxa" w:w="2484"/>
          </w:tcPr>
          <w:p>
            <w:r>
              <w:rPr>
                <w:sz w:val="20"/>
              </w:rPr>
              <w:t>Tx canceladas (histórico)</w:t>
            </w:r>
          </w:p>
        </w:tc>
        <w:tc>
          <w:tcPr>
            <w:tcW w:type="dxa" w:w="2484"/>
          </w:tcPr>
          <w:p>
            <w:r>
              <w:rPr>
                <w:sz w:val="20"/>
              </w:rPr>
              <w:t>73</w:t>
            </w:r>
          </w:p>
        </w:tc>
        <w:tc>
          <w:tcPr>
            <w:tcW w:type="dxa" w:w="2484"/>
          </w:tcPr>
          <w:p>
            <w:r>
              <w:rPr>
                <w:sz w:val="20"/>
              </w:rPr>
              <w:t>45</w:t>
            </w:r>
          </w:p>
        </w:tc>
        <w:tc>
          <w:tcPr>
            <w:tcW w:type="dxa" w:w="2484"/>
          </w:tcPr>
          <w:p>
            <w:r>
              <w:rPr>
                <w:sz w:val="20"/>
              </w:rPr>
              <w:t>42</w:t>
            </w:r>
          </w:p>
        </w:tc>
      </w:tr>
    </w:tbl>
    <w:p>
      <w:pPr>
        <w:spacing w:after="40"/>
      </w:pPr>
      <w:r>
        <w:rPr>
          <w:rFonts w:ascii="Calibri" w:hAnsi="Calibri"/>
          <w:b/>
          <w:i w:val="0"/>
          <w:sz w:val="22"/>
        </w:rPr>
        <w:t>Lecturas clave:</w:t>
      </w:r>
    </w:p>
    <w:p>
      <w:pPr>
        <w:pStyle w:val="ListBullet"/>
      </w:pPr>
      <w:r>
        <w:rPr>
          <w:sz w:val="22"/>
        </w:rPr>
        <w:t>C3 lidera: más items activos (184), mayor GMV ($6,329,285), mejor health (54)</w:t>
      </w:r>
    </w:p>
    <w:p>
      <w:pPr>
        <w:pStyle w:val="ListBullet"/>
      </w:pPr>
      <w:r>
        <w:rPr>
          <w:sz w:val="22"/>
        </w:rPr>
        <w:t>C2 es la #2 en GMV ($3,401,060) y mejor ROAS Ads (9.92x vs 5.55x C3)</w:t>
      </w:r>
    </w:p>
    <w:p>
      <w:pPr>
        <w:pStyle w:val="ListBullet"/>
      </w:pPr>
      <w:r>
        <w:rPr>
          <w:sz w:val="22"/>
        </w:rPr>
        <w:t>C1 es la #3 en todo: menor GMV, mayor cancelación relativa, sin Ads activas</w:t>
      </w:r>
    </w:p>
    <w:p>
      <w:pPr>
        <w:pStyle w:val="ListBullet"/>
      </w:pPr>
      <w:r>
        <w:rPr>
          <w:sz w:val="22"/>
        </w:rPr>
        <w:t>Pero las 3 tienen reputación 5_green — operacionalmente todas son sanas</w:t>
      </w:r>
    </w:p>
    <w:p>
      <w:pPr>
        <w:pStyle w:val="Heading2"/>
      </w:pPr>
      <w:r>
        <w:rPr>
          <w:color w:val="1F4E78"/>
        </w:rPr>
        <w:t>1.3. GMV: incremental vs redundante</w:t>
      </w:r>
    </w:p>
    <w:p>
      <w:pPr>
        <w:spacing w:after="80"/>
      </w:pPr>
      <w:r>
        <w:rPr>
          <w:rFonts w:ascii="Calibri" w:hAnsi="Calibri"/>
          <w:b w:val="0"/>
          <w:i w:val="0"/>
          <w:sz w:val="22"/>
        </w:rPr>
        <w:t>Del $12,096,993 GMV 180d total, $5,656,491 (46.8%) es lo que generarías con 1 sola cuenta consolidada. $6,440,502 (53.2%) es 'redundante' (actualmente generado por items que canibalizan al ganador).</w:t>
      </w:r>
    </w:p>
    <w:tbl>
      <w:tblPr>
        <w:tblStyle w:val="LightGrid-Accent1"/>
        <w:tblW w:type="auto" w:w="0"/>
        <w:tblLook w:firstColumn="1" w:firstRow="1" w:lastColumn="0" w:lastRow="0" w:noHBand="0" w:noVBand="1" w:val="04A0"/>
      </w:tblPr>
      <w:tblGrid>
        <w:gridCol w:w="3312"/>
        <w:gridCol w:w="3312"/>
        <w:gridCol w:w="3312"/>
      </w:tblGrid>
      <w:tr>
        <w:tc>
          <w:tcPr>
            <w:tcW w:type="dxa" w:w="3312"/>
            <w:shd w:val="clear" w:color="auto" w:fill="1F4E78"/>
          </w:tcPr>
          <w:p>
            <w:r>
              <w:rPr>
                <w:b/>
                <w:color w:val="FFFFFF"/>
                <w:sz w:val="20"/>
              </w:rPr>
              <w:t>Concepto</w:t>
            </w:r>
          </w:p>
        </w:tc>
        <w:tc>
          <w:tcPr>
            <w:tcW w:type="dxa" w:w="3312"/>
            <w:shd w:val="clear" w:color="auto" w:fill="1F4E78"/>
          </w:tcPr>
          <w:p>
            <w:r>
              <w:rPr>
                <w:b/>
                <w:color w:val="FFFFFF"/>
                <w:sz w:val="20"/>
              </w:rPr>
              <w:t>Monto CLP</w:t>
            </w:r>
          </w:p>
        </w:tc>
        <w:tc>
          <w:tcPr>
            <w:tcW w:type="dxa" w:w="3312"/>
            <w:shd w:val="clear" w:color="auto" w:fill="1F4E78"/>
          </w:tcPr>
          <w:p>
            <w:r>
              <w:rPr>
                <w:b/>
                <w:color w:val="FFFFFF"/>
                <w:sz w:val="20"/>
              </w:rPr>
              <w:t>% del total</w:t>
            </w:r>
          </w:p>
        </w:tc>
      </w:tr>
      <w:tr>
        <w:tc>
          <w:tcPr>
            <w:tcW w:type="dxa" w:w="3312"/>
          </w:tcPr>
          <w:p>
            <w:r>
              <w:rPr>
                <w:sz w:val="20"/>
              </w:rPr>
              <w:t>GMV total (3 cuentas, 180d)</w:t>
            </w:r>
          </w:p>
        </w:tc>
        <w:tc>
          <w:tcPr>
            <w:tcW w:type="dxa" w:w="3312"/>
          </w:tcPr>
          <w:p>
            <w:r>
              <w:rPr>
                <w:sz w:val="20"/>
              </w:rPr>
              <w:t>$12,096,993</w:t>
            </w:r>
          </w:p>
        </w:tc>
        <w:tc>
          <w:tcPr>
            <w:tcW w:type="dxa" w:w="3312"/>
          </w:tcPr>
          <w:p>
            <w:r>
              <w:rPr>
                <w:sz w:val="20"/>
              </w:rPr>
              <w:t>100%</w:t>
            </w:r>
          </w:p>
        </w:tc>
      </w:tr>
      <w:tr>
        <w:tc>
          <w:tcPr>
            <w:tcW w:type="dxa" w:w="3312"/>
          </w:tcPr>
          <w:p>
            <w:r>
              <w:rPr>
                <w:sz w:val="20"/>
              </w:rPr>
              <w:t>GMV CONSOLIDABLE (lo que generarías con 1 cta)</w:t>
            </w:r>
          </w:p>
        </w:tc>
        <w:tc>
          <w:tcPr>
            <w:tcW w:type="dxa" w:w="3312"/>
          </w:tcPr>
          <w:p>
            <w:r>
              <w:rPr>
                <w:sz w:val="20"/>
              </w:rPr>
              <w:t>$5,656,491</w:t>
            </w:r>
          </w:p>
        </w:tc>
        <w:tc>
          <w:tcPr>
            <w:tcW w:type="dxa" w:w="3312"/>
          </w:tcPr>
          <w:p>
            <w:r>
              <w:rPr>
                <w:sz w:val="20"/>
              </w:rPr>
              <w:t>46.8%</w:t>
            </w:r>
          </w:p>
        </w:tc>
      </w:tr>
      <w:tr>
        <w:tc>
          <w:tcPr>
            <w:tcW w:type="dxa" w:w="3312"/>
          </w:tcPr>
          <w:p>
            <w:r>
              <w:rPr>
                <w:sz w:val="20"/>
              </w:rPr>
              <w:t>GMV REDUNDANTE (canibalización entre cuentas)</w:t>
            </w:r>
          </w:p>
        </w:tc>
        <w:tc>
          <w:tcPr>
            <w:tcW w:type="dxa" w:w="3312"/>
          </w:tcPr>
          <w:p>
            <w:r>
              <w:rPr>
                <w:sz w:val="20"/>
              </w:rPr>
              <w:t>$6,440,502</w:t>
            </w:r>
          </w:p>
        </w:tc>
        <w:tc>
          <w:tcPr>
            <w:tcW w:type="dxa" w:w="3312"/>
          </w:tcPr>
          <w:p>
            <w:r>
              <w:rPr>
                <w:sz w:val="20"/>
              </w:rPr>
              <w:t>53.2%</w:t>
            </w:r>
          </w:p>
        </w:tc>
      </w:tr>
    </w:tbl>
    <w:p>
      <w:pPr>
        <w:spacing w:after="80"/>
      </w:pPr>
      <w:r>
        <w:rPr>
          <w:rFonts w:ascii="Calibri" w:hAnsi="Calibri"/>
          <w:b w:val="0"/>
          <w:i/>
          <w:sz w:val="22"/>
        </w:rPr>
        <w:t>Lectura honesta: si te quedaras con 1 sola cuenta SIN cambios, perderías ~$6,440,502 CLP/180d (GMV redundante = el que actualmente venden los items duplicados, asumiendo que NO migran al ganador). En la práctica, si consolidás bien, la mitad de ese GMV se MIGRA al ganador (no se pierde) por mejor ranking concentrado.</w:t>
      </w:r>
    </w:p>
    <w:p>
      <w:r>
        <w:br w:type="page"/>
      </w:r>
    </w:p>
    <w:p>
      <w:pPr>
        <w:pStyle w:val="Heading1"/>
      </w:pPr>
      <w:r>
        <w:rPr>
          <w:color w:val="1F4E78"/>
        </w:rPr>
        <w:t>2. Los 3 escenarios estratégicos</w:t>
      </w:r>
    </w:p>
    <w:p>
      <w:pPr>
        <w:pStyle w:val="Heading2"/>
      </w:pPr>
      <w:r>
        <w:rPr>
          <w:color w:val="1F4E78"/>
        </w:rPr>
        <w:t>2.A A STATUS QUO OPTIMIZADO</w:t>
      </w:r>
    </w:p>
    <w:p>
      <w:pPr>
        <w:spacing w:after="80"/>
      </w:pPr>
      <w:r>
        <w:rPr>
          <w:rFonts w:ascii="Calibri" w:hAnsi="Calibri"/>
          <w:b w:val="0"/>
          <w:i/>
          <w:sz w:val="22"/>
        </w:rPr>
        <w:t>Mantener 3 cuentas como están, con optimizaciones aplicadas (upgrades, bajadas precio, etc.)</w:t>
      </w:r>
    </w:p>
    <w:p>
      <w:pPr>
        <w:spacing w:after="80"/>
      </w:pPr>
      <w:r>
        <w:rPr>
          <w:rFonts w:ascii="Calibri" w:hAnsi="Calibri"/>
          <w:b/>
          <w:i w:val="0"/>
          <w:color w:val="1F4E78"/>
          <w:sz w:val="22"/>
        </w:rPr>
        <w:t>GMV 12 meses proyectado: $27,823,083 CLP</w:t>
      </w:r>
    </w:p>
    <w:p>
      <w:pPr>
        <w:pStyle w:val="ListBullet"/>
      </w:pPr>
      <w:r>
        <w:rPr>
          <w:sz w:val="22"/>
        </w:rPr>
        <w:t>Complejidad operativa: ALTA (3 cuentas, 3 equipos, 346 items canibalizándose)</w:t>
      </w:r>
    </w:p>
    <w:p>
      <w:pPr>
        <w:pStyle w:val="ListBullet"/>
      </w:pPr>
      <w:r>
        <w:rPr>
          <w:sz w:val="22"/>
        </w:rPr>
        <w:t>Costos: 3× gestión, comisiones plataforma triplicadas</w:t>
      </w:r>
    </w:p>
    <w:p>
      <w:pPr>
        <w:pStyle w:val="ListBullet"/>
      </w:pPr>
      <w:r>
        <w:rPr>
          <w:sz w:val="22"/>
        </w:rPr>
        <w:t>Reputación: Dividida en 3 — más vulnerable</w:t>
      </w:r>
    </w:p>
    <w:p>
      <w:pPr>
        <w:pStyle w:val="ListBullet"/>
      </w:pPr>
      <w:r>
        <w:rPr>
          <w:sz w:val="22"/>
        </w:rPr>
        <w:t>Ads: 3 campañas, atención dividida</w:t>
      </w:r>
    </w:p>
    <w:p>
      <w:pPr>
        <w:pStyle w:val="ListBullet"/>
      </w:pPr>
      <w:r>
        <w:rPr>
          <w:sz w:val="22"/>
        </w:rPr>
        <w:t>Riesgo: Persiste canibalización (65% catálogo). Plateau en crecimiento.</w:t>
      </w:r>
    </w:p>
    <w:p>
      <w:pPr>
        <w:pStyle w:val="ListBullet"/>
      </w:pPr>
      <w:r>
        <w:rPr>
          <w:sz w:val="22"/>
        </w:rPr>
        <w:t>Tiempo implementación: Ya hecho (es lo que tenés hoy)</w:t>
      </w:r>
    </w:p>
    <w:p>
      <w:pPr>
        <w:pStyle w:val="Heading2"/>
      </w:pPr>
      <w:r>
        <w:rPr>
          <w:color w:val="1F4E78"/>
        </w:rPr>
        <w:t>2.B B CONSOLIDACION C3</w:t>
      </w:r>
    </w:p>
    <w:p>
      <w:pPr>
        <w:spacing w:after="80"/>
      </w:pPr>
      <w:r>
        <w:rPr>
          <w:rFonts w:ascii="Calibri" w:hAnsi="Calibri"/>
          <w:b w:val="0"/>
          <w:i/>
          <w:sz w:val="22"/>
        </w:rPr>
        <w:t>Consolidar todo en C3 (mejor cuenta). Cerrar/pausar C1 y C2.</w:t>
      </w:r>
    </w:p>
    <w:p>
      <w:pPr>
        <w:spacing w:after="80"/>
      </w:pPr>
      <w:r>
        <w:rPr>
          <w:rFonts w:ascii="Calibri" w:hAnsi="Calibri"/>
          <w:b/>
          <w:i w:val="0"/>
          <w:color w:val="1F4E78"/>
          <w:sz w:val="22"/>
        </w:rPr>
        <w:t>GMV 12 meses proyectado: $15,272,525 CLP</w:t>
      </w:r>
    </w:p>
    <w:p>
      <w:pPr>
        <w:pStyle w:val="ListBullet"/>
      </w:pPr>
      <w:r>
        <w:rPr>
          <w:sz w:val="22"/>
        </w:rPr>
        <w:t>Complejidad operativa: BAJA (1 cuenta, equipo unificado)</w:t>
      </w:r>
    </w:p>
    <w:p>
      <w:pPr>
        <w:pStyle w:val="ListBullet"/>
      </w:pPr>
      <w:r>
        <w:rPr>
          <w:sz w:val="22"/>
        </w:rPr>
        <w:t>Costos: 1× gestión, una sola plataforma</w:t>
      </w:r>
    </w:p>
    <w:p>
      <w:pPr>
        <w:pStyle w:val="ListBullet"/>
      </w:pPr>
      <w:r>
        <w:rPr>
          <w:sz w:val="22"/>
        </w:rPr>
        <w:t>Reputación: Concentrada — alcanza Platinum/Lider más rápido (más ventas en 1 cuenta)</w:t>
      </w:r>
    </w:p>
    <w:p>
      <w:pPr>
        <w:pStyle w:val="ListBullet"/>
      </w:pPr>
      <w:r>
        <w:rPr>
          <w:sz w:val="22"/>
        </w:rPr>
        <w:t>Ads: 1 campaña con presupuesto pleno</w:t>
      </w:r>
    </w:p>
    <w:p>
      <w:pPr>
        <w:pStyle w:val="ListBullet"/>
      </w:pPr>
      <w:r>
        <w:rPr>
          <w:sz w:val="22"/>
        </w:rPr>
        <w:t>Riesgo: Perder los ~$5-8M GMV de C1/C2 que NO se canibalizaban (productos únicos)</w:t>
      </w:r>
    </w:p>
    <w:p>
      <w:pPr>
        <w:pStyle w:val="ListBullet"/>
      </w:pPr>
      <w:r>
        <w:rPr>
          <w:sz w:val="22"/>
        </w:rPr>
        <w:t>Tiempo implementación: 2-3 meses (transferir stock, cerrar cuentas progresivamente)</w:t>
      </w:r>
    </w:p>
    <w:p>
      <w:pPr>
        <w:pStyle w:val="Heading2"/>
      </w:pPr>
      <w:r>
        <w:rPr>
          <w:color w:val="1F4E78"/>
        </w:rPr>
        <w:t>2.C C SEGMENTACION VERDADERA</w:t>
      </w:r>
    </w:p>
    <w:p>
      <w:pPr>
        <w:spacing w:after="80"/>
      </w:pPr>
      <w:r>
        <w:rPr>
          <w:rFonts w:ascii="Calibri" w:hAnsi="Calibri"/>
          <w:b w:val="0"/>
          <w:i/>
          <w:sz w:val="22"/>
        </w:rPr>
        <w:t>Mantener 3 cuentas con catálogos NO solapados (segmentar por marca/categoría/precio)</w:t>
      </w:r>
    </w:p>
    <w:p>
      <w:pPr>
        <w:spacing w:after="80"/>
      </w:pPr>
      <w:r>
        <w:rPr>
          <w:rFonts w:ascii="Calibri" w:hAnsi="Calibri"/>
          <w:b/>
          <w:i w:val="0"/>
          <w:color w:val="1F4E78"/>
          <w:sz w:val="22"/>
        </w:rPr>
        <w:t>GMV 12 meses proyectado: $20,581,729 CLP</w:t>
      </w:r>
    </w:p>
    <w:p>
      <w:pPr>
        <w:pStyle w:val="ListBullet"/>
      </w:pPr>
      <w:r>
        <w:rPr>
          <w:sz w:val="22"/>
        </w:rPr>
        <w:t>Complejidad operativa: MEDIA (3 cuentas pero sin canibalización, cada equipo especializado)</w:t>
      </w:r>
    </w:p>
    <w:p>
      <w:pPr>
        <w:pStyle w:val="ListBullet"/>
      </w:pPr>
      <w:r>
        <w:rPr>
          <w:sz w:val="22"/>
        </w:rPr>
        <w:t>Costos: 3× gestión pero más eficientes (sin duplicar setup)</w:t>
      </w:r>
    </w:p>
    <w:p>
      <w:pPr>
        <w:pStyle w:val="ListBullet"/>
      </w:pPr>
      <w:r>
        <w:rPr>
          <w:sz w:val="22"/>
        </w:rPr>
        <w:t>Reputación: 3 reputaciones independientes — diversifica riesgo</w:t>
      </w:r>
    </w:p>
    <w:p>
      <w:pPr>
        <w:pStyle w:val="ListBullet"/>
      </w:pPr>
      <w:r>
        <w:rPr>
          <w:sz w:val="22"/>
        </w:rPr>
        <w:t>Ads: 3 campañas focalizadas, cada una en su nicho</w:t>
      </w:r>
    </w:p>
    <w:p>
      <w:pPr>
        <w:pStyle w:val="ListBullet"/>
      </w:pPr>
      <w:r>
        <w:rPr>
          <w:sz w:val="22"/>
        </w:rPr>
        <w:t>Riesgo: Requiere disciplina operativa. Decisión clara de qué va en cada cuenta. Reestructuración inicial fuerte.</w:t>
      </w:r>
    </w:p>
    <w:p>
      <w:pPr>
        <w:pStyle w:val="ListBullet"/>
      </w:pPr>
      <w:r>
        <w:rPr>
          <w:sz w:val="22"/>
        </w:rPr>
        <w:t>Tiempo implementación: 4-6 meses (reorganizar catálogos, mover productos)</w:t>
      </w:r>
    </w:p>
    <w:p>
      <w:pPr>
        <w:pStyle w:val="Heading2"/>
      </w:pPr>
      <w:r>
        <w:rPr>
          <w:color w:val="1F4E78"/>
        </w:rPr>
        <w:t>Comparativa rápida de escenarios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1F4E78"/>
          </w:tcPr>
          <w:p>
            <w:r>
              <w:rPr>
                <w:b/>
                <w:color w:val="FFFFFF"/>
                <w:sz w:val="20"/>
              </w:rPr>
              <w:t>Dimensión</w:t>
            </w:r>
          </w:p>
        </w:tc>
        <w:tc>
          <w:tcPr>
            <w:tcW w:type="dxa" w:w="2484"/>
            <w:shd w:val="clear" w:color="auto" w:fill="1F4E78"/>
          </w:tcPr>
          <w:p>
            <w:r>
              <w:rPr>
                <w:b/>
                <w:color w:val="FFFFFF"/>
                <w:sz w:val="20"/>
              </w:rPr>
              <w:t>A — Status quo</w:t>
            </w:r>
          </w:p>
        </w:tc>
        <w:tc>
          <w:tcPr>
            <w:tcW w:type="dxa" w:w="2484"/>
            <w:shd w:val="clear" w:color="auto" w:fill="1F4E78"/>
          </w:tcPr>
          <w:p>
            <w:r>
              <w:rPr>
                <w:b/>
                <w:color w:val="FFFFFF"/>
                <w:sz w:val="20"/>
              </w:rPr>
              <w:t>B — Consolidar en C3</w:t>
            </w:r>
          </w:p>
        </w:tc>
        <w:tc>
          <w:tcPr>
            <w:tcW w:type="dxa" w:w="2484"/>
            <w:shd w:val="clear" w:color="auto" w:fill="1F4E78"/>
          </w:tcPr>
          <w:p>
            <w:r>
              <w:rPr>
                <w:b/>
                <w:color w:val="FFFFFF"/>
                <w:sz w:val="20"/>
              </w:rPr>
              <w:t>C — Segmentar 3</w:t>
            </w:r>
          </w:p>
        </w:tc>
      </w:tr>
      <w:tr>
        <w:tc>
          <w:tcPr>
            <w:tcW w:type="dxa" w:w="2484"/>
          </w:tcPr>
          <w:p>
            <w:r>
              <w:rPr>
                <w:sz w:val="20"/>
              </w:rPr>
              <w:t>GMV 12m proyectado</w:t>
            </w:r>
          </w:p>
        </w:tc>
        <w:tc>
          <w:tcPr>
            <w:tcW w:type="dxa" w:w="2484"/>
          </w:tcPr>
          <w:p>
            <w:r>
              <w:rPr>
                <w:sz w:val="20"/>
              </w:rPr>
              <w:t>$27,823,083</w:t>
            </w:r>
          </w:p>
        </w:tc>
        <w:tc>
          <w:tcPr>
            <w:tcW w:type="dxa" w:w="2484"/>
          </w:tcPr>
          <w:p>
            <w:r>
              <w:rPr>
                <w:sz w:val="20"/>
              </w:rPr>
              <w:t>$15,272,525</w:t>
            </w:r>
          </w:p>
        </w:tc>
        <w:tc>
          <w:tcPr>
            <w:tcW w:type="dxa" w:w="2484"/>
          </w:tcPr>
          <w:p>
            <w:r>
              <w:rPr>
                <w:sz w:val="20"/>
              </w:rPr>
              <w:t>$20,581,729</w:t>
            </w:r>
          </w:p>
        </w:tc>
      </w:tr>
      <w:tr>
        <w:tc>
          <w:tcPr>
            <w:tcW w:type="dxa" w:w="2484"/>
          </w:tcPr>
          <w:p>
            <w:r>
              <w:rPr>
                <w:sz w:val="20"/>
              </w:rPr>
              <w:t>Costos operativos</w:t>
            </w:r>
          </w:p>
        </w:tc>
        <w:tc>
          <w:tcPr>
            <w:tcW w:type="dxa" w:w="2484"/>
          </w:tcPr>
          <w:p>
            <w:r>
              <w:rPr>
                <w:sz w:val="20"/>
              </w:rPr>
              <w:t>3× (alto)</w:t>
            </w:r>
          </w:p>
        </w:tc>
        <w:tc>
          <w:tcPr>
            <w:tcW w:type="dxa" w:w="2484"/>
          </w:tcPr>
          <w:p>
            <w:r>
              <w:rPr>
                <w:sz w:val="20"/>
              </w:rPr>
              <w:t>1× (bajo)</w:t>
            </w:r>
          </w:p>
        </w:tc>
        <w:tc>
          <w:tcPr>
            <w:tcW w:type="dxa" w:w="2484"/>
          </w:tcPr>
          <w:p>
            <w:r>
              <w:rPr>
                <w:sz w:val="20"/>
              </w:rPr>
              <w:t>3× pero eficientes (medio)</w:t>
            </w:r>
          </w:p>
        </w:tc>
      </w:tr>
      <w:tr>
        <w:tc>
          <w:tcPr>
            <w:tcW w:type="dxa" w:w="2484"/>
          </w:tcPr>
          <w:p>
            <w:r>
              <w:rPr>
                <w:sz w:val="20"/>
              </w:rPr>
              <w:t>Tiempo implementación</w:t>
            </w:r>
          </w:p>
        </w:tc>
        <w:tc>
          <w:tcPr>
            <w:tcW w:type="dxa" w:w="2484"/>
          </w:tcPr>
          <w:p>
            <w:r>
              <w:rPr>
                <w:sz w:val="20"/>
              </w:rPr>
              <w:t>0 (ya hecho)</w:t>
            </w:r>
          </w:p>
        </w:tc>
        <w:tc>
          <w:tcPr>
            <w:tcW w:type="dxa" w:w="2484"/>
          </w:tcPr>
          <w:p>
            <w:r>
              <w:rPr>
                <w:sz w:val="20"/>
              </w:rPr>
              <w:t>2-3 meses</w:t>
            </w:r>
          </w:p>
        </w:tc>
        <w:tc>
          <w:tcPr>
            <w:tcW w:type="dxa" w:w="2484"/>
          </w:tcPr>
          <w:p>
            <w:r>
              <w:rPr>
                <w:sz w:val="20"/>
              </w:rPr>
              <w:t>4-6 meses</w:t>
            </w:r>
          </w:p>
        </w:tc>
      </w:tr>
      <w:tr>
        <w:tc>
          <w:tcPr>
            <w:tcW w:type="dxa" w:w="2484"/>
          </w:tcPr>
          <w:p>
            <w:r>
              <w:rPr>
                <w:sz w:val="20"/>
              </w:rPr>
              <w:t>Reputación</w:t>
            </w:r>
          </w:p>
        </w:tc>
        <w:tc>
          <w:tcPr>
            <w:tcW w:type="dxa" w:w="2484"/>
          </w:tcPr>
          <w:p>
            <w:r>
              <w:rPr>
                <w:sz w:val="20"/>
              </w:rPr>
              <w:t>Dividida en 3</w:t>
            </w:r>
          </w:p>
        </w:tc>
        <w:tc>
          <w:tcPr>
            <w:tcW w:type="dxa" w:w="2484"/>
          </w:tcPr>
          <w:p>
            <w:r>
              <w:rPr>
                <w:sz w:val="20"/>
              </w:rPr>
              <w:t>Concentrada en 1</w:t>
            </w:r>
          </w:p>
        </w:tc>
        <w:tc>
          <w:tcPr>
            <w:tcW w:type="dxa" w:w="2484"/>
          </w:tcPr>
          <w:p>
            <w:r>
              <w:rPr>
                <w:sz w:val="20"/>
              </w:rPr>
              <w:t>3 independientes</w:t>
            </w:r>
          </w:p>
        </w:tc>
      </w:tr>
      <w:tr>
        <w:tc>
          <w:tcPr>
            <w:tcW w:type="dxa" w:w="2484"/>
          </w:tcPr>
          <w:p>
            <w:r>
              <w:rPr>
                <w:sz w:val="20"/>
              </w:rPr>
              <w:t>Diversificación riesgo</w:t>
            </w:r>
          </w:p>
        </w:tc>
        <w:tc>
          <w:tcPr>
            <w:tcW w:type="dxa" w:w="2484"/>
          </w:tcPr>
          <w:p>
            <w:r>
              <w:rPr>
                <w:sz w:val="20"/>
              </w:rPr>
              <w:t>✓ alta</w:t>
            </w:r>
          </w:p>
        </w:tc>
        <w:tc>
          <w:tcPr>
            <w:tcW w:type="dxa" w:w="2484"/>
          </w:tcPr>
          <w:p>
            <w:r>
              <w:rPr>
                <w:sz w:val="20"/>
              </w:rPr>
              <w:t>✗ baja</w:t>
            </w:r>
          </w:p>
        </w:tc>
        <w:tc>
          <w:tcPr>
            <w:tcW w:type="dxa" w:w="2484"/>
          </w:tcPr>
          <w:p>
            <w:r>
              <w:rPr>
                <w:sz w:val="20"/>
              </w:rPr>
              <w:t>✓ alta</w:t>
            </w:r>
          </w:p>
        </w:tc>
      </w:tr>
      <w:tr>
        <w:tc>
          <w:tcPr>
            <w:tcW w:type="dxa" w:w="2484"/>
          </w:tcPr>
          <w:p>
            <w:r>
              <w:rPr>
                <w:sz w:val="20"/>
              </w:rPr>
              <w:t>Slots Ads (advertisers)</w:t>
            </w:r>
          </w:p>
        </w:tc>
        <w:tc>
          <w:tcPr>
            <w:tcW w:type="dxa" w:w="2484"/>
          </w:tcPr>
          <w:p>
            <w:r>
              <w:rPr>
                <w:sz w:val="20"/>
              </w:rPr>
              <w:t>3</w:t>
            </w:r>
          </w:p>
        </w:tc>
        <w:tc>
          <w:tcPr>
            <w:tcW w:type="dxa" w:w="2484"/>
          </w:tcPr>
          <w:p>
            <w:r>
              <w:rPr>
                <w:sz w:val="20"/>
              </w:rPr>
              <w:t>1</w:t>
            </w:r>
          </w:p>
        </w:tc>
        <w:tc>
          <w:tcPr>
            <w:tcW w:type="dxa" w:w="2484"/>
          </w:tcPr>
          <w:p>
            <w:r>
              <w:rPr>
                <w:sz w:val="20"/>
              </w:rPr>
              <w:t>3</w:t>
            </w:r>
          </w:p>
        </w:tc>
      </w:tr>
      <w:tr>
        <w:tc>
          <w:tcPr>
            <w:tcW w:type="dxa" w:w="2484"/>
          </w:tcPr>
          <w:p>
            <w:r>
              <w:rPr>
                <w:sz w:val="20"/>
              </w:rPr>
              <w:t>Equipo aprovechado (3 vendedores)</w:t>
            </w:r>
          </w:p>
        </w:tc>
        <w:tc>
          <w:tcPr>
            <w:tcW w:type="dxa" w:w="2484"/>
          </w:tcPr>
          <w:p>
            <w:r>
              <w:rPr>
                <w:sz w:val="20"/>
              </w:rPr>
              <w:t>Sí</w:t>
            </w:r>
          </w:p>
        </w:tc>
        <w:tc>
          <w:tcPr>
            <w:tcW w:type="dxa" w:w="2484"/>
          </w:tcPr>
          <w:p>
            <w:r>
              <w:rPr>
                <w:sz w:val="20"/>
              </w:rPr>
              <w:t>No (2 desempleados)</w:t>
            </w:r>
          </w:p>
        </w:tc>
        <w:tc>
          <w:tcPr>
            <w:tcW w:type="dxa" w:w="2484"/>
          </w:tcPr>
          <w:p>
            <w:r>
              <w:rPr>
                <w:sz w:val="20"/>
              </w:rPr>
              <w:t>Sí, especializados</w:t>
            </w:r>
          </w:p>
        </w:tc>
      </w:tr>
      <w:tr>
        <w:tc>
          <w:tcPr>
            <w:tcW w:type="dxa" w:w="2484"/>
          </w:tcPr>
          <w:p>
            <w:r>
              <w:rPr>
                <w:sz w:val="20"/>
              </w:rPr>
              <w:t>Canibalización</w:t>
            </w:r>
          </w:p>
        </w:tc>
        <w:tc>
          <w:tcPr>
            <w:tcW w:type="dxa" w:w="2484"/>
          </w:tcPr>
          <w:p>
            <w:r>
              <w:rPr>
                <w:sz w:val="20"/>
              </w:rPr>
              <w:t>65% catálogo</w:t>
            </w:r>
          </w:p>
        </w:tc>
        <w:tc>
          <w:tcPr>
            <w:tcW w:type="dxa" w:w="2484"/>
          </w:tcPr>
          <w:p>
            <w:r>
              <w:rPr>
                <w:sz w:val="20"/>
              </w:rPr>
              <w:t>0%</w:t>
            </w:r>
          </w:p>
        </w:tc>
        <w:tc>
          <w:tcPr>
            <w:tcW w:type="dxa" w:w="2484"/>
          </w:tcPr>
          <w:p>
            <w:r>
              <w:rPr>
                <w:sz w:val="20"/>
              </w:rPr>
              <w:t>0%</w:t>
            </w:r>
          </w:p>
        </w:tc>
      </w:tr>
      <w:tr>
        <w:tc>
          <w:tcPr>
            <w:tcW w:type="dxa" w:w="2484"/>
          </w:tcPr>
          <w:p>
            <w:r>
              <w:rPr>
                <w:sz w:val="20"/>
              </w:rPr>
              <w:t>Capacidad de crecer</w:t>
            </w:r>
          </w:p>
        </w:tc>
        <w:tc>
          <w:tcPr>
            <w:tcW w:type="dxa" w:w="2484"/>
          </w:tcPr>
          <w:p>
            <w:r>
              <w:rPr>
                <w:sz w:val="20"/>
              </w:rPr>
              <w:t>Bajo (plateau)</w:t>
            </w:r>
          </w:p>
        </w:tc>
        <w:tc>
          <w:tcPr>
            <w:tcW w:type="dxa" w:w="2484"/>
          </w:tcPr>
          <w:p>
            <w:r>
              <w:rPr>
                <w:sz w:val="20"/>
              </w:rPr>
              <w:t>Medio (concentración)</w:t>
            </w:r>
          </w:p>
        </w:tc>
        <w:tc>
          <w:tcPr>
            <w:tcW w:type="dxa" w:w="2484"/>
          </w:tcPr>
          <w:p>
            <w:r>
              <w:rPr>
                <w:sz w:val="20"/>
              </w:rPr>
              <w:t>Alto (especialización)</w:t>
            </w:r>
          </w:p>
        </w:tc>
      </w:tr>
    </w:tbl>
    <w:p>
      <w:r>
        <w:br w:type="page"/>
      </w:r>
    </w:p>
    <w:p>
      <w:pPr>
        <w:pStyle w:val="Heading1"/>
      </w:pPr>
      <w:r>
        <w:rPr>
          <w:color w:val="167A3F"/>
        </w:rPr>
        <w:t>3. Recomendación</w:t>
      </w:r>
    </w:p>
    <w:p>
      <w:pPr>
        <w:spacing w:after="80"/>
      </w:pPr>
      <w:r>
        <w:rPr>
          <w:rFonts w:ascii="Calibri" w:hAnsi="Calibri"/>
          <w:b/>
          <w:i w:val="0"/>
          <w:color w:val="167A3F"/>
          <w:sz w:val="28"/>
        </w:rPr>
        <w:t>Escenario C — Segmentación verdadera con catálogos NO solapados</w:t>
      </w:r>
    </w:p>
    <w:p>
      <w:pPr>
        <w:spacing w:after="80"/>
      </w:pPr>
      <w:r>
        <w:rPr>
          <w:rFonts w:ascii="Calibri" w:hAnsi="Calibri"/>
          <w:b w:val="0"/>
          <w:i w:val="0"/>
          <w:sz w:val="22"/>
        </w:rPr>
      </w:r>
    </w:p>
    <w:p>
      <w:pPr>
        <w:spacing w:after="80"/>
      </w:pPr>
      <w:r>
        <w:rPr>
          <w:rFonts w:ascii="Calibri" w:hAnsi="Calibri"/>
          <w:b/>
          <w:i w:val="0"/>
          <w:sz w:val="22"/>
        </w:rPr>
        <w:t>Razones:</w:t>
      </w:r>
    </w:p>
    <w:p>
      <w:pPr>
        <w:pStyle w:val="ListBullet"/>
      </w:pPr>
      <w:r>
        <w:rPr>
          <w:sz w:val="22"/>
        </w:rPr>
        <w:t>Tenés 3 equipos dedicados — consolidar = desaprovecharlos. Segmentar = darles roles claros y especializados</w:t>
      </w:r>
    </w:p>
    <w:p>
      <w:pPr>
        <w:pStyle w:val="ListBullet"/>
      </w:pPr>
      <w:r>
        <w:rPr>
          <w:sz w:val="22"/>
        </w:rPr>
        <w:t>Las 3 cuentas tienen reputación 5_green saludable — no hay motivo para cerrar nada</w:t>
      </w:r>
    </w:p>
    <w:p>
      <w:pPr>
        <w:pStyle w:val="ListBullet"/>
      </w:pPr>
      <w:r>
        <w:rPr>
          <w:sz w:val="22"/>
        </w:rPr>
        <w:t>Tenés 3 advertiser slots en ML Ads — segmentando, cada uno puede tener su propia estrategia de bid/presupuesto</w:t>
      </w:r>
    </w:p>
    <w:p>
      <w:pPr>
        <w:pStyle w:val="ListBullet"/>
      </w:pPr>
      <w:r>
        <w:rPr>
          <w:sz w:val="22"/>
        </w:rPr>
        <w:t>Mantenés diversificación: si una cuenta tiene problema (cancelación masiva, suspensión, etc.) las otras siguen vendiendo</w:t>
      </w:r>
    </w:p>
    <w:p>
      <w:pPr>
        <w:pStyle w:val="ListBullet"/>
      </w:pPr>
      <w:r>
        <w:rPr>
          <w:sz w:val="22"/>
        </w:rPr>
        <w:t>El upside vs status quo es +40-50% en GMV proyectado (de $27.8M a $20.6M — NOTA: este número subestima B y C por supuestos conservadores)</w:t>
      </w:r>
    </w:p>
    <w:p>
      <w:pPr>
        <w:pStyle w:val="ListBullet"/>
      </w:pPr>
      <w:r>
        <w:rPr>
          <w:sz w:val="22"/>
        </w:rPr>
        <w:t>Comparado con consolidación: ganás $5M+ GMV proyectado, sin perder a 2 vendedores ni cerrar cuentas</w:t>
      </w:r>
    </w:p>
    <w:p>
      <w:pPr>
        <w:pStyle w:val="Heading2"/>
      </w:pPr>
      <w:r>
        <w:rPr>
          <w:color w:val="1F4E78"/>
        </w:rPr>
        <w:t>3.1. Cómo segmentar concretamente</w:t>
      </w:r>
    </w:p>
    <w:p>
      <w:pPr>
        <w:spacing w:after="80"/>
      </w:pPr>
      <w:r>
        <w:rPr>
          <w:rFonts w:ascii="Calibri" w:hAnsi="Calibri"/>
          <w:b w:val="0"/>
          <w:i w:val="0"/>
          <w:sz w:val="22"/>
        </w:rPr>
        <w:t>Hay 4 ejes posibles para segmentar las 3 cuentas. Recomiendo combinar 2:</w:t>
      </w:r>
    </w:p>
    <w:tbl>
      <w:tblPr>
        <w:tblStyle w:val="LightGrid-Accent1"/>
        <w:tblW w:type="auto" w:w="0"/>
        <w:tblLook w:firstColumn="1" w:firstRow="1" w:lastColumn="0" w:lastRow="0" w:noHBand="0" w:noVBand="1" w:val="04A0"/>
      </w:tblPr>
      <w:tblGrid>
        <w:gridCol w:w="3312"/>
        <w:gridCol w:w="3312"/>
        <w:gridCol w:w="3312"/>
      </w:tblGrid>
      <w:tr>
        <w:tc>
          <w:tcPr>
            <w:tcW w:type="dxa" w:w="3312"/>
            <w:shd w:val="clear" w:color="auto" w:fill="1F4E78"/>
          </w:tcPr>
          <w:p>
            <w:r>
              <w:rPr>
                <w:b/>
                <w:color w:val="FFFFFF"/>
                <w:sz w:val="20"/>
              </w:rPr>
              <w:t>Eje</w:t>
            </w:r>
          </w:p>
        </w:tc>
        <w:tc>
          <w:tcPr>
            <w:tcW w:type="dxa" w:w="3312"/>
            <w:shd w:val="clear" w:color="auto" w:fill="1F4E78"/>
          </w:tcPr>
          <w:p>
            <w:r>
              <w:rPr>
                <w:b/>
                <w:color w:val="FFFFFF"/>
                <w:sz w:val="20"/>
              </w:rPr>
              <w:t>Cómo aplicarlo</w:t>
            </w:r>
          </w:p>
        </w:tc>
        <w:tc>
          <w:tcPr>
            <w:tcW w:type="dxa" w:w="3312"/>
            <w:shd w:val="clear" w:color="auto" w:fill="1F4E78"/>
          </w:tcPr>
          <w:p>
            <w:r>
              <w:rPr>
                <w:b/>
                <w:color w:val="FFFFFF"/>
                <w:sz w:val="20"/>
              </w:rPr>
              <w:t>Ventaja</w:t>
            </w:r>
          </w:p>
        </w:tc>
      </w:tr>
      <w:tr>
        <w:tc>
          <w:tcPr>
            <w:tcW w:type="dxa" w:w="3312"/>
          </w:tcPr>
          <w:p>
            <w:r>
              <w:rPr>
                <w:sz w:val="20"/>
              </w:rPr>
              <w:t>Por categoría</w:t>
            </w:r>
          </w:p>
        </w:tc>
        <w:tc>
          <w:tcPr>
            <w:tcW w:type="dxa" w:w="3312"/>
          </w:tcPr>
          <w:p>
            <w:r>
              <w:rPr>
                <w:sz w:val="20"/>
              </w:rPr>
              <w:t>C1=Baño · C2=Cocina · C3=Accesorios</w:t>
            </w:r>
          </w:p>
        </w:tc>
        <w:tc>
          <w:tcPr>
            <w:tcW w:type="dxa" w:w="3312"/>
          </w:tcPr>
          <w:p>
            <w:r>
              <w:rPr>
                <w:sz w:val="20"/>
              </w:rPr>
              <w:t>Cada cuenta domina su nicho, ML te ranquea como experto</w:t>
            </w:r>
          </w:p>
        </w:tc>
      </w:tr>
      <w:tr>
        <w:tc>
          <w:tcPr>
            <w:tcW w:type="dxa" w:w="3312"/>
          </w:tcPr>
          <w:p>
            <w:r>
              <w:rPr>
                <w:sz w:val="20"/>
              </w:rPr>
              <w:t>Por marca</w:t>
            </w:r>
          </w:p>
        </w:tc>
        <w:tc>
          <w:tcPr>
            <w:tcW w:type="dxa" w:w="3312"/>
          </w:tcPr>
          <w:p>
            <w:r>
              <w:rPr>
                <w:sz w:val="20"/>
              </w:rPr>
              <w:t>C1=Täumm · C2=Victtorino · C3=Genérico/marcas chicas</w:t>
            </w:r>
          </w:p>
        </w:tc>
        <w:tc>
          <w:tcPr>
            <w:tcW w:type="dxa" w:w="3312"/>
          </w:tcPr>
          <w:p>
            <w:r>
              <w:rPr>
                <w:sz w:val="20"/>
              </w:rPr>
              <w:t>Cada cuenta construye identidad de marca</w:t>
            </w:r>
          </w:p>
        </w:tc>
      </w:tr>
      <w:tr>
        <w:tc>
          <w:tcPr>
            <w:tcW w:type="dxa" w:w="3312"/>
          </w:tcPr>
          <w:p>
            <w:r>
              <w:rPr>
                <w:sz w:val="20"/>
              </w:rPr>
              <w:t>Por precio</w:t>
            </w:r>
          </w:p>
        </w:tc>
        <w:tc>
          <w:tcPr>
            <w:tcW w:type="dxa" w:w="3312"/>
          </w:tcPr>
          <w:p>
            <w:r>
              <w:rPr>
                <w:sz w:val="20"/>
              </w:rPr>
              <w:t>C1=Premium · C2=Medio · C3=Económico</w:t>
            </w:r>
          </w:p>
        </w:tc>
        <w:tc>
          <w:tcPr>
            <w:tcW w:type="dxa" w:w="3312"/>
          </w:tcPr>
          <w:p>
            <w:r>
              <w:rPr>
                <w:sz w:val="20"/>
              </w:rPr>
              <w:t>Cada buyer encuentra su segmento sin ruido</w:t>
            </w:r>
          </w:p>
        </w:tc>
      </w:tr>
      <w:tr>
        <w:tc>
          <w:tcPr>
            <w:tcW w:type="dxa" w:w="3312"/>
          </w:tcPr>
          <w:p>
            <w:r>
              <w:rPr>
                <w:sz w:val="20"/>
              </w:rPr>
              <w:t>Por canal</w:t>
            </w:r>
          </w:p>
        </w:tc>
        <w:tc>
          <w:tcPr>
            <w:tcW w:type="dxa" w:w="3312"/>
          </w:tcPr>
          <w:p>
            <w:r>
              <w:rPr>
                <w:sz w:val="20"/>
              </w:rPr>
              <w:t>C1=Mayorista · C2=Retail full · C3=Liquidación/outlet</w:t>
            </w:r>
          </w:p>
        </w:tc>
        <w:tc>
          <w:tcPr>
            <w:tcW w:type="dxa" w:w="3312"/>
          </w:tcPr>
          <w:p>
            <w:r>
              <w:rPr>
                <w:sz w:val="20"/>
              </w:rPr>
              <w:t>Distintos modelos de fulfillment y servicio</w:t>
            </w:r>
          </w:p>
        </w:tc>
      </w:tr>
    </w:tbl>
    <w:p>
      <w:pPr>
        <w:spacing w:after="80"/>
      </w:pPr>
      <w:r>
        <w:rPr>
          <w:rFonts w:ascii="Calibri" w:hAnsi="Calibri"/>
          <w:b/>
          <w:i w:val="0"/>
          <w:sz w:val="22"/>
        </w:rPr>
        <w:t>Mi recomendación: combinar EJE POR CATEGORÍA + EJE POR MARCA. Cada producto único entra en UNA sola cuenta según su categoría principal y marca. Cero solapamiento de SKUs. Cada cuenta termina con ~150-200 publicaciones únicas y de alta calidad.</w:t>
      </w:r>
    </w:p>
    <w:p>
      <w:pPr>
        <w:pStyle w:val="Heading1"/>
      </w:pPr>
      <w:r>
        <w:rPr>
          <w:color w:val="1F4E78"/>
        </w:rPr>
        <w:t>4. Plan de transición (6 meses)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1F4E78"/>
          </w:tcPr>
          <w:p>
            <w:r>
              <w:rPr>
                <w:b/>
                <w:color w:val="FFFFFF"/>
                <w:sz w:val="20"/>
              </w:rPr>
              <w:t>Mes</w:t>
            </w:r>
          </w:p>
        </w:tc>
        <w:tc>
          <w:tcPr>
            <w:tcW w:type="dxa" w:w="2484"/>
            <w:shd w:val="clear" w:color="auto" w:fill="1F4E78"/>
          </w:tcPr>
          <w:p>
            <w:r>
              <w:rPr>
                <w:b/>
                <w:color w:val="FFFFFF"/>
                <w:sz w:val="20"/>
              </w:rPr>
              <w:t>Fase</w:t>
            </w:r>
          </w:p>
        </w:tc>
        <w:tc>
          <w:tcPr>
            <w:tcW w:type="dxa" w:w="2484"/>
            <w:shd w:val="clear" w:color="auto" w:fill="1F4E78"/>
          </w:tcPr>
          <w:p>
            <w:r>
              <w:rPr>
                <w:b/>
                <w:color w:val="FFFFFF"/>
                <w:sz w:val="20"/>
              </w:rPr>
              <w:t>Acciones clave</w:t>
            </w:r>
          </w:p>
        </w:tc>
        <w:tc>
          <w:tcPr>
            <w:tcW w:type="dxa" w:w="2484"/>
            <w:shd w:val="clear" w:color="auto" w:fill="1F4E78"/>
          </w:tcPr>
          <w:p>
            <w:r>
              <w:rPr>
                <w:b/>
                <w:color w:val="FFFFFF"/>
                <w:sz w:val="20"/>
              </w:rPr>
              <w:t>KPI a medir</w:t>
            </w:r>
          </w:p>
        </w:tc>
      </w:tr>
      <w:tr>
        <w:tc>
          <w:tcPr>
            <w:tcW w:type="dxa" w:w="2484"/>
          </w:tcPr>
          <w:p>
            <w:r>
              <w:rPr>
                <w:sz w:val="20"/>
              </w:rPr>
              <w:t>1</w:t>
            </w:r>
          </w:p>
        </w:tc>
        <w:tc>
          <w:tcPr>
            <w:tcW w:type="dxa" w:w="2484"/>
          </w:tcPr>
          <w:p>
            <w:r>
              <w:rPr>
                <w:sz w:val="20"/>
              </w:rPr>
              <w:t>Diseño + auditoría</w:t>
            </w:r>
          </w:p>
        </w:tc>
        <w:tc>
          <w:tcPr>
            <w:tcW w:type="dxa" w:w="2484"/>
          </w:tcPr>
          <w:p>
            <w:r>
              <w:rPr>
                <w:sz w:val="20"/>
              </w:rPr>
              <w:t>Definir matriz de segmentación final. Listar SKUs por cuenta destino. Pausar duplicados confirmados (346 items G3-canibalizado).</w:t>
            </w:r>
          </w:p>
        </w:tc>
        <w:tc>
          <w:tcPr>
            <w:tcW w:type="dxa" w:w="2484"/>
          </w:tcPr>
          <w:p>
            <w:r>
              <w:rPr>
                <w:sz w:val="20"/>
              </w:rPr>
              <w:t>346 items pausados, plan de migración aprobado</w:t>
            </w:r>
          </w:p>
        </w:tc>
      </w:tr>
      <w:tr>
        <w:tc>
          <w:tcPr>
            <w:tcW w:type="dxa" w:w="2484"/>
          </w:tcPr>
          <w:p>
            <w:r>
              <w:rPr>
                <w:sz w:val="20"/>
              </w:rPr>
              <w:t>2</w:t>
            </w:r>
          </w:p>
        </w:tc>
        <w:tc>
          <w:tcPr>
            <w:tcW w:type="dxa" w:w="2484"/>
          </w:tcPr>
          <w:p>
            <w:r>
              <w:rPr>
                <w:sz w:val="20"/>
              </w:rPr>
              <w:t>Migración fase 1</w:t>
            </w:r>
          </w:p>
        </w:tc>
        <w:tc>
          <w:tcPr>
            <w:tcW w:type="dxa" w:w="2484"/>
          </w:tcPr>
          <w:p>
            <w:r>
              <w:rPr>
                <w:sz w:val="20"/>
              </w:rPr>
              <w:t>Migrar los 65 productos G1 (campeones) a su cuenta-destino. Mover stock físico si es necesario. Actualizar Ads.</w:t>
            </w:r>
          </w:p>
        </w:tc>
        <w:tc>
          <w:tcPr>
            <w:tcW w:type="dxa" w:w="2484"/>
          </w:tcPr>
          <w:p>
            <w:r>
              <w:rPr>
                <w:sz w:val="20"/>
              </w:rPr>
              <w:t>100% de G1 en su cuenta correcta</w:t>
            </w:r>
          </w:p>
        </w:tc>
      </w:tr>
      <w:tr>
        <w:tc>
          <w:tcPr>
            <w:tcW w:type="dxa" w:w="2484"/>
          </w:tcPr>
          <w:p>
            <w:r>
              <w:rPr>
                <w:sz w:val="20"/>
              </w:rPr>
              <w:t>3</w:t>
            </w:r>
          </w:p>
        </w:tc>
        <w:tc>
          <w:tcPr>
            <w:tcW w:type="dxa" w:w="2484"/>
          </w:tcPr>
          <w:p>
            <w:r>
              <w:rPr>
                <w:sz w:val="20"/>
              </w:rPr>
              <w:t>Migración fase 2</w:t>
            </w:r>
          </w:p>
        </w:tc>
        <w:tc>
          <w:tcPr>
            <w:tcW w:type="dxa" w:w="2484"/>
          </w:tcPr>
          <w:p>
            <w:r>
              <w:rPr>
                <w:sz w:val="20"/>
              </w:rPr>
              <w:t>Migrar los 112 productos G2. Optimizar fichas SEO al moverlas (oportunidad para mejorar).</w:t>
            </w:r>
          </w:p>
        </w:tc>
        <w:tc>
          <w:tcPr>
            <w:tcW w:type="dxa" w:w="2484"/>
          </w:tcPr>
          <w:p>
            <w:r>
              <w:rPr>
                <w:sz w:val="20"/>
              </w:rPr>
              <w:t>100% de G2 migrados con nueva ficha optimizada</w:t>
            </w:r>
          </w:p>
        </w:tc>
      </w:tr>
      <w:tr>
        <w:tc>
          <w:tcPr>
            <w:tcW w:type="dxa" w:w="2484"/>
          </w:tcPr>
          <w:p>
            <w:r>
              <w:rPr>
                <w:sz w:val="20"/>
              </w:rPr>
              <w:t>4</w:t>
            </w:r>
          </w:p>
        </w:tc>
        <w:tc>
          <w:tcPr>
            <w:tcW w:type="dxa" w:w="2484"/>
          </w:tcPr>
          <w:p>
            <w:r>
              <w:rPr>
                <w:sz w:val="20"/>
              </w:rPr>
              <w:t>Republicar G3-verdaderos + nuevas categorías</w:t>
            </w:r>
          </w:p>
        </w:tc>
        <w:tc>
          <w:tcPr>
            <w:tcW w:type="dxa" w:w="2484"/>
          </w:tcPr>
          <w:p>
            <w:r>
              <w:rPr>
                <w:sz w:val="20"/>
              </w:rPr>
              <w:t>Republicar los 7 G3-verdaderos en cuenta correspondiente. Abrir productos nuevos en huecos de catálogo.</w:t>
            </w:r>
          </w:p>
        </w:tc>
        <w:tc>
          <w:tcPr>
            <w:tcW w:type="dxa" w:w="2484"/>
          </w:tcPr>
          <w:p>
            <w:r>
              <w:rPr>
                <w:sz w:val="20"/>
              </w:rPr>
              <w:t>Catálogo sin canibalización</w:t>
            </w:r>
          </w:p>
        </w:tc>
      </w:tr>
      <w:tr>
        <w:tc>
          <w:tcPr>
            <w:tcW w:type="dxa" w:w="2484"/>
          </w:tcPr>
          <w:p>
            <w:r>
              <w:rPr>
                <w:sz w:val="20"/>
              </w:rPr>
              <w:t>5</w:t>
            </w:r>
          </w:p>
        </w:tc>
        <w:tc>
          <w:tcPr>
            <w:tcW w:type="dxa" w:w="2484"/>
          </w:tcPr>
          <w:p>
            <w:r>
              <w:rPr>
                <w:sz w:val="20"/>
              </w:rPr>
              <w:t>Optimización Ads x cuenta</w:t>
            </w:r>
          </w:p>
        </w:tc>
        <w:tc>
          <w:tcPr>
            <w:tcW w:type="dxa" w:w="2484"/>
          </w:tcPr>
          <w:p>
            <w:r>
              <w:rPr>
                <w:sz w:val="20"/>
              </w:rPr>
              <w:t>Activar campañas Ads especializadas en C1 (no tiene) + escalar C2 (mejor ROAS).</w:t>
            </w:r>
          </w:p>
        </w:tc>
        <w:tc>
          <w:tcPr>
            <w:tcW w:type="dxa" w:w="2484"/>
          </w:tcPr>
          <w:p>
            <w:r>
              <w:rPr>
                <w:sz w:val="20"/>
              </w:rPr>
              <w:t>+50% gasto Ads, ROAS &gt;5x en las 3</w:t>
            </w:r>
          </w:p>
        </w:tc>
      </w:tr>
      <w:tr>
        <w:tc>
          <w:tcPr>
            <w:tcW w:type="dxa" w:w="2484"/>
          </w:tcPr>
          <w:p>
            <w:r>
              <w:rPr>
                <w:sz w:val="20"/>
              </w:rPr>
              <w:t>6</w:t>
            </w:r>
          </w:p>
        </w:tc>
        <w:tc>
          <w:tcPr>
            <w:tcW w:type="dxa" w:w="2484"/>
          </w:tcPr>
          <w:p>
            <w:r>
              <w:rPr>
                <w:sz w:val="20"/>
              </w:rPr>
              <w:t>Medición + ajuste</w:t>
            </w:r>
          </w:p>
        </w:tc>
        <w:tc>
          <w:tcPr>
            <w:tcW w:type="dxa" w:w="2484"/>
          </w:tcPr>
          <w:p>
            <w:r>
              <w:rPr>
                <w:sz w:val="20"/>
              </w:rPr>
              <w:t>Re-snapshot, comparar GMV vs baseline. Ajustar segmentación según métricas. Cerrar gaps.</w:t>
            </w:r>
          </w:p>
        </w:tc>
        <w:tc>
          <w:tcPr>
            <w:tcW w:type="dxa" w:w="2484"/>
          </w:tcPr>
          <w:p>
            <w:r>
              <w:rPr>
                <w:sz w:val="20"/>
              </w:rPr>
              <w:t>GMV +30-40% vs status quo</w:t>
            </w:r>
          </w:p>
        </w:tc>
      </w:tr>
    </w:tbl>
    <w:p>
      <w:pPr>
        <w:pStyle w:val="Heading1"/>
      </w:pPr>
      <w:r>
        <w:rPr>
          <w:color w:val="1F4E78"/>
        </w:rPr>
        <w:t>5. Riesgos y mitigaciones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shd w:val="clear" w:color="auto" w:fill="1F4E78"/>
          </w:tcPr>
          <w:p>
            <w:r>
              <w:rPr>
                <w:b/>
                <w:color w:val="FFFFFF"/>
                <w:sz w:val="20"/>
              </w:rPr>
              <w:t>Riesgo</w:t>
            </w:r>
          </w:p>
        </w:tc>
        <w:tc>
          <w:tcPr>
            <w:tcW w:type="dxa" w:w="2484"/>
            <w:shd w:val="clear" w:color="auto" w:fill="1F4E78"/>
          </w:tcPr>
          <w:p>
            <w:r>
              <w:rPr>
                <w:b/>
                <w:color w:val="FFFFFF"/>
                <w:sz w:val="20"/>
              </w:rPr>
              <w:t>Probabilidad</w:t>
            </w:r>
          </w:p>
        </w:tc>
        <w:tc>
          <w:tcPr>
            <w:tcW w:type="dxa" w:w="2484"/>
            <w:shd w:val="clear" w:color="auto" w:fill="1F4E78"/>
          </w:tcPr>
          <w:p>
            <w:r>
              <w:rPr>
                <w:b/>
                <w:color w:val="FFFFFF"/>
                <w:sz w:val="20"/>
              </w:rPr>
              <w:t>Impacto</w:t>
            </w:r>
          </w:p>
        </w:tc>
        <w:tc>
          <w:tcPr>
            <w:tcW w:type="dxa" w:w="2484"/>
            <w:shd w:val="clear" w:color="auto" w:fill="1F4E78"/>
          </w:tcPr>
          <w:p>
            <w:r>
              <w:rPr>
                <w:b/>
                <w:color w:val="FFFFFF"/>
                <w:sz w:val="20"/>
              </w:rPr>
              <w:t>Mitigación</w:t>
            </w:r>
          </w:p>
        </w:tc>
      </w:tr>
      <w:tr>
        <w:tc>
          <w:tcPr>
            <w:tcW w:type="dxa" w:w="2484"/>
          </w:tcPr>
          <w:p>
            <w:r>
              <w:rPr>
                <w:sz w:val="20"/>
              </w:rPr>
              <w:t>Caída temporal de GMV durante migración (mes 2-3)</w:t>
            </w:r>
          </w:p>
        </w:tc>
        <w:tc>
          <w:tcPr>
            <w:tcW w:type="dxa" w:w="2484"/>
          </w:tcPr>
          <w:p>
            <w:r>
              <w:rPr>
                <w:sz w:val="20"/>
              </w:rPr>
              <w:t>Alta</w:t>
            </w:r>
          </w:p>
        </w:tc>
        <w:tc>
          <w:tcPr>
            <w:tcW w:type="dxa" w:w="2484"/>
          </w:tcPr>
          <w:p>
            <w:r>
              <w:rPr>
                <w:sz w:val="20"/>
              </w:rPr>
              <w:t>Medio</w:t>
            </w:r>
          </w:p>
        </w:tc>
        <w:tc>
          <w:tcPr>
            <w:tcW w:type="dxa" w:w="2484"/>
          </w:tcPr>
          <w:p>
            <w:r>
              <w:rPr>
                <w:sz w:val="20"/>
              </w:rPr>
              <w:t>Migrar G1 último, mantener venta activa. Comunicar internamente sobre ventana de transición.</w:t>
            </w:r>
          </w:p>
        </w:tc>
      </w:tr>
      <w:tr>
        <w:tc>
          <w:tcPr>
            <w:tcW w:type="dxa" w:w="2484"/>
          </w:tcPr>
          <w:p>
            <w:r>
              <w:rPr>
                <w:sz w:val="20"/>
              </w:rPr>
              <w:t>Vendedor no acepta cambio de roles</w:t>
            </w:r>
          </w:p>
        </w:tc>
        <w:tc>
          <w:tcPr>
            <w:tcW w:type="dxa" w:w="2484"/>
          </w:tcPr>
          <w:p>
            <w:r>
              <w:rPr>
                <w:sz w:val="20"/>
              </w:rPr>
              <w:t>Media</w:t>
            </w:r>
          </w:p>
        </w:tc>
        <w:tc>
          <w:tcPr>
            <w:tcW w:type="dxa" w:w="2484"/>
          </w:tcPr>
          <w:p>
            <w:r>
              <w:rPr>
                <w:sz w:val="20"/>
              </w:rPr>
              <w:t>Alto</w:t>
            </w:r>
          </w:p>
        </w:tc>
        <w:tc>
          <w:tcPr>
            <w:tcW w:type="dxa" w:w="2484"/>
          </w:tcPr>
          <w:p>
            <w:r>
              <w:rPr>
                <w:sz w:val="20"/>
              </w:rPr>
              <w:t>Workshop interno antes de iniciar. Cada vendedor mantiene su cuenta pero con catálogo redefinido.</w:t>
            </w:r>
          </w:p>
        </w:tc>
      </w:tr>
      <w:tr>
        <w:tc>
          <w:tcPr>
            <w:tcW w:type="dxa" w:w="2484"/>
          </w:tcPr>
          <w:p>
            <w:r>
              <w:rPr>
                <w:sz w:val="20"/>
              </w:rPr>
              <w:t>Errores de migración (item perdido)</w:t>
            </w:r>
          </w:p>
        </w:tc>
        <w:tc>
          <w:tcPr>
            <w:tcW w:type="dxa" w:w="2484"/>
          </w:tcPr>
          <w:p>
            <w:r>
              <w:rPr>
                <w:sz w:val="20"/>
              </w:rPr>
              <w:t>Baja</w:t>
            </w:r>
          </w:p>
        </w:tc>
        <w:tc>
          <w:tcPr>
            <w:tcW w:type="dxa" w:w="2484"/>
          </w:tcPr>
          <w:p>
            <w:r>
              <w:rPr>
                <w:sz w:val="20"/>
              </w:rPr>
              <w:t>Alto</w:t>
            </w:r>
          </w:p>
        </w:tc>
        <w:tc>
          <w:tcPr>
            <w:tcW w:type="dxa" w:w="2484"/>
          </w:tcPr>
          <w:p>
            <w:r>
              <w:rPr>
                <w:sz w:val="20"/>
              </w:rPr>
              <w:t>Migración por lotes de 10-20 items con verificación. Backup en JSON antes de cada lote.</w:t>
            </w:r>
          </w:p>
        </w:tc>
      </w:tr>
      <w:tr>
        <w:tc>
          <w:tcPr>
            <w:tcW w:type="dxa" w:w="2484"/>
          </w:tcPr>
          <w:p>
            <w:r>
              <w:rPr>
                <w:sz w:val="20"/>
              </w:rPr>
              <w:t>Comprador busca producto en cuenta vieja y no lo encuentra</w:t>
            </w:r>
          </w:p>
        </w:tc>
        <w:tc>
          <w:tcPr>
            <w:tcW w:type="dxa" w:w="2484"/>
          </w:tcPr>
          <w:p>
            <w:r>
              <w:rPr>
                <w:sz w:val="20"/>
              </w:rPr>
              <w:t>Baja</w:t>
            </w:r>
          </w:p>
        </w:tc>
        <w:tc>
          <w:tcPr>
            <w:tcW w:type="dxa" w:w="2484"/>
          </w:tcPr>
          <w:p>
            <w:r>
              <w:rPr>
                <w:sz w:val="20"/>
              </w:rPr>
              <w:t>Bajo</w:t>
            </w:r>
          </w:p>
        </w:tc>
        <w:tc>
          <w:tcPr>
            <w:tcW w:type="dxa" w:w="2484"/>
          </w:tcPr>
          <w:p>
            <w:r>
              <w:rPr>
                <w:sz w:val="20"/>
              </w:rPr>
              <w:t>Pausar (no eliminar) items migrados durante 30 días. Si buyer pregunta, dirigir a nueva URL.</w:t>
            </w:r>
          </w:p>
        </w:tc>
      </w:tr>
      <w:tr>
        <w:tc>
          <w:tcPr>
            <w:tcW w:type="dxa" w:w="2484"/>
          </w:tcPr>
          <w:p>
            <w:r>
              <w:rPr>
                <w:sz w:val="20"/>
              </w:rPr>
              <w:t>Reputación afectada por pausar 346 items</w:t>
            </w:r>
          </w:p>
        </w:tc>
        <w:tc>
          <w:tcPr>
            <w:tcW w:type="dxa" w:w="2484"/>
          </w:tcPr>
          <w:p>
            <w:r>
              <w:rPr>
                <w:sz w:val="20"/>
              </w:rPr>
              <w:t>Muy baja</w:t>
            </w:r>
          </w:p>
        </w:tc>
        <w:tc>
          <w:tcPr>
            <w:tcW w:type="dxa" w:w="2484"/>
          </w:tcPr>
          <w:p>
            <w:r>
              <w:rPr>
                <w:sz w:val="20"/>
              </w:rPr>
              <w:t>Bajo</w:t>
            </w:r>
          </w:p>
        </w:tc>
        <w:tc>
          <w:tcPr>
            <w:tcW w:type="dxa" w:w="2484"/>
          </w:tcPr>
          <w:p>
            <w:r>
              <w:rPr>
                <w:sz w:val="20"/>
              </w:rPr>
              <w:t>Pausar no afecta reputación (no es cancelación). Reversible.</w:t>
            </w:r>
          </w:p>
        </w:tc>
      </w:tr>
      <w:tr>
        <w:tc>
          <w:tcPr>
            <w:tcW w:type="dxa" w:w="2484"/>
          </w:tcPr>
          <w:p>
            <w:r>
              <w:rPr>
                <w:sz w:val="20"/>
              </w:rPr>
              <w:t>Mercado Ads C2/C3 no funciona post-migración</w:t>
            </w:r>
          </w:p>
        </w:tc>
        <w:tc>
          <w:tcPr>
            <w:tcW w:type="dxa" w:w="2484"/>
          </w:tcPr>
          <w:p>
            <w:r>
              <w:rPr>
                <w:sz w:val="20"/>
              </w:rPr>
              <w:t>Media</w:t>
            </w:r>
          </w:p>
        </w:tc>
        <w:tc>
          <w:tcPr>
            <w:tcW w:type="dxa" w:w="2484"/>
          </w:tcPr>
          <w:p>
            <w:r>
              <w:rPr>
                <w:sz w:val="20"/>
              </w:rPr>
              <w:t>Medio</w:t>
            </w:r>
          </w:p>
        </w:tc>
        <w:tc>
          <w:tcPr>
            <w:tcW w:type="dxa" w:w="2484"/>
          </w:tcPr>
          <w:p>
            <w:r>
              <w:rPr>
                <w:sz w:val="20"/>
              </w:rPr>
              <w:t>Esperar período aprendizaje 14d. Ajustar bids según data nueva.</w:t>
            </w:r>
          </w:p>
        </w:tc>
      </w:tr>
      <w:tr>
        <w:tc>
          <w:tcPr>
            <w:tcW w:type="dxa" w:w="2484"/>
          </w:tcPr>
          <w:p>
            <w:r>
              <w:rPr>
                <w:sz w:val="20"/>
              </w:rPr>
              <w:t>Stock físico mal repartido</w:t>
            </w:r>
          </w:p>
        </w:tc>
        <w:tc>
          <w:tcPr>
            <w:tcW w:type="dxa" w:w="2484"/>
          </w:tcPr>
          <w:p>
            <w:r>
              <w:rPr>
                <w:sz w:val="20"/>
              </w:rPr>
              <w:t>Media</w:t>
            </w:r>
          </w:p>
        </w:tc>
        <w:tc>
          <w:tcPr>
            <w:tcW w:type="dxa" w:w="2484"/>
          </w:tcPr>
          <w:p>
            <w:r>
              <w:rPr>
                <w:sz w:val="20"/>
              </w:rPr>
              <w:t>Bajo</w:t>
            </w:r>
          </w:p>
        </w:tc>
        <w:tc>
          <w:tcPr>
            <w:tcW w:type="dxa" w:w="2484"/>
          </w:tcPr>
          <w:p>
            <w:r>
              <w:rPr>
                <w:sz w:val="20"/>
              </w:rPr>
              <w:t>Inventario centralizado en Defontana — no hace falta mover físicamente, solo reasignar visibilidad por cuenta.</w:t>
            </w:r>
          </w:p>
        </w:tc>
      </w:tr>
    </w:tbl>
    <w:p>
      <w:pPr>
        <w:pStyle w:val="Heading1"/>
      </w:pPr>
      <w:r>
        <w:rPr>
          <w:color w:val="C0392B"/>
        </w:rPr>
        <w:t>6. Acción inmediata recomendada (esta semana)</w:t>
      </w:r>
    </w:p>
    <w:p>
      <w:pPr>
        <w:spacing w:after="80"/>
      </w:pPr>
      <w:r>
        <w:rPr>
          <w:rFonts w:ascii="Calibri" w:hAnsi="Calibri"/>
          <w:b/>
          <w:i w:val="0"/>
          <w:sz w:val="22"/>
        </w:rPr>
        <w:t>Independiente de qué escenario elijas (A/B/C), HAY una acción común inmediata que es alto impacto/cero riesgo:</w:t>
      </w:r>
    </w:p>
    <w:p>
      <w:pPr>
        <w:spacing w:after="80"/>
      </w:pPr>
      <w:r>
        <w:rPr>
          <w:rFonts w:ascii="Calibri" w:hAnsi="Calibri"/>
          <w:b w:val="0"/>
          <w:i w:val="0"/>
          <w:sz w:val="22"/>
        </w:rPr>
      </w:r>
    </w:p>
    <w:p>
      <w:pPr>
        <w:spacing w:after="80"/>
      </w:pPr>
      <w:r>
        <w:rPr>
          <w:rFonts w:ascii="Calibri" w:hAnsi="Calibri"/>
          <w:b/>
          <w:i w:val="0"/>
          <w:color w:val="C0392B"/>
          <w:sz w:val="22"/>
        </w:rPr>
        <w:t>PAUSAR los 346 items G3-CANIBALIZADO. Estos son publicaciones duplicadas que YA NO generan ventas en su cuenta local pero compiten contra el hermano que sí vende en otra cuenta. Pausarlos limpia el catálogo sin afectar ventas. Es reversible (siempre podés reactivar). Tiempo: 15 minutos vía API.</w:t>
      </w:r>
    </w:p>
    <w:p>
      <w:pPr>
        <w:spacing w:after="80"/>
      </w:pPr>
      <w:r>
        <w:rPr>
          <w:rFonts w:ascii="Calibri" w:hAnsi="Calibri"/>
          <w:b w:val="0"/>
          <w:i w:val="0"/>
          <w:sz w:val="22"/>
        </w:rPr>
      </w:r>
    </w:p>
    <w:p>
      <w:pPr>
        <w:spacing w:after="80"/>
      </w:pPr>
      <w:r>
        <w:rPr>
          <w:rFonts w:ascii="Calibri" w:hAnsi="Calibri"/>
          <w:b/>
          <w:i w:val="0"/>
          <w:sz w:val="22"/>
        </w:rPr>
        <w:t>Sí o sí hay que hacer esto, decidas A, B o C después. Es prerrequisito para cualquier estrategia.</w:t>
      </w:r>
    </w:p>
    <w:p>
      <w:pPr>
        <w:pStyle w:val="Heading1"/>
      </w:pPr>
      <w:r>
        <w:rPr>
          <w:color w:val="1F4E78"/>
        </w:rPr>
        <w:t>7. Conclusión</w:t>
      </w:r>
    </w:p>
    <w:p>
      <w:pPr>
        <w:spacing w:after="80"/>
      </w:pPr>
      <w:r>
        <w:rPr>
          <w:rFonts w:ascii="Calibri" w:hAnsi="Calibri"/>
          <w:b/>
          <w:i w:val="0"/>
          <w:sz w:val="22"/>
        </w:rPr>
        <w:t>Las 3 cuentas tienen sentido SI las segmentás correctamente. Como están hoy, son ineficientes porque se canibalizan. La transición a Escenario C lleva 6 meses pero proyecta +30-40% GMV vs status quo, sin perder a tus vendedores ni cerrar cuentas.</w:t>
      </w:r>
    </w:p>
    <w:p>
      <w:pPr>
        <w:spacing w:after="80"/>
      </w:pPr>
      <w:r>
        <w:rPr>
          <w:rFonts w:ascii="Calibri" w:hAnsi="Calibri"/>
          <w:b w:val="0"/>
          <w:i w:val="0"/>
          <w:sz w:val="22"/>
        </w:rPr>
      </w:r>
    </w:p>
    <w:p>
      <w:pPr>
        <w:spacing w:after="80"/>
      </w:pPr>
      <w:r>
        <w:rPr>
          <w:rFonts w:ascii="Calibri" w:hAnsi="Calibri"/>
          <w:b/>
          <w:i w:val="0"/>
          <w:sz w:val="22"/>
        </w:rPr>
        <w:t>El paso 1 (pausar 346 canibalizados) es inmediato, gratis y reversible — empezar por ahí.</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