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9"/>
          <w:sz w:val="44"/>
          <w:szCs w:val="44"/>
        </w:rPr>
        <w:t xml:space="preserve">Credit Risk &amp; Loan Default Analysis</w:t>
      </w:r>
    </w:p>
    <w:p>
      <w:pPr>
        <w:spacing w:after="60"/>
      </w:pPr>
      <w:r>
        <w:rPr>
          <w:color w:val="555555"/>
          <w:sz w:val="28"/>
          <w:szCs w:val="28"/>
        </w:rPr>
        <w:t xml:space="preserve">Business Understanding &amp; Insights Report</w:t>
      </w:r>
    </w:p>
    <w:p>
      <w:pPr>
        <w:spacing w:after="400"/>
      </w:pPr>
      <w:r>
        <w:rPr>
          <w:i/>
          <w:iCs/>
          <w:color w:val="888888"/>
          <w:sz w:val="20"/>
          <w:szCs w:val="20"/>
        </w:rPr>
        <w:t xml:space="preserve">Prepared by: Vinayak Mestry   |   Tool: MySQL   |   Date: July 2026</w:t>
      </w:r>
    </w:p>
    <w:p>
      <w:pPr>
        <w:pStyle w:val="Heading1"/>
        <w:spacing w:after="150" w:before="300"/>
      </w:pPr>
      <w:r>
        <w:t xml:space="preserve">1. Business Understanding</w:t>
      </w:r>
    </w:p>
    <w:p>
      <w:pPr>
        <w:pStyle w:val="Heading2"/>
        <w:spacing w:after="120" w:before="250"/>
      </w:pPr>
      <w:r>
        <w:t xml:space="preserve">Business Problem</w:t>
      </w:r>
    </w:p>
    <w:p>
      <w:pPr>
        <w:spacing w:after="120"/>
      </w:pPr>
      <w:r>
        <w:t xml:space="preserve">The bank wants to minimize loan defaults while maximizing approvals for reliable borrowers. Historical loan data has been analyzed using SQL to identify risk factors and provide data-backed recommendations for lending decisions.</w:t>
      </w:r>
    </w:p>
    <w:p>
      <w:pPr>
        <w:pStyle w:val="Heading2"/>
        <w:spacing w:after="120" w:before="250"/>
      </w:pPr>
      <w:r>
        <w:t xml:space="preserve">Stakeholders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CEO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Risk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Loan Officer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Finance Team</w:t>
      </w:r>
    </w:p>
    <w:p>
      <w:pPr>
        <w:pStyle w:val="Heading2"/>
        <w:spacing w:after="120" w:before="250"/>
      </w:pPr>
      <w:r>
        <w:t xml:space="preserve">Objective</w:t>
      </w:r>
    </w:p>
    <w:p>
      <w:pPr>
        <w:spacing w:after="120"/>
      </w:pPr>
      <w:r>
        <w:t xml:space="preserve">This analysis answers the following core questions: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Why do customers default?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Who is high risk?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What characteristics increase default probability?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How should the bank improve lending?</w:t>
      </w:r>
    </w:p>
    <w:p>
      <w:pPr>
        <w:pStyle w:val="Heading1"/>
        <w:spacing w:after="150" w:before="300"/>
      </w:pPr>
      <w:r>
        <w:t xml:space="preserve">2. Dataset Overview</w:t>
      </w:r>
    </w:p>
    <w:p>
      <w:pPr>
        <w:spacing w:after="120"/>
      </w:pPr>
      <w:r>
        <w:t xml:space="preserve">Source: Credit Risk Dataset (32,581 original records, 12 columns), sourced from Kaggle. Each row represents an individual loan applicant with demographic, financial, and loan-specific attributes.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Total raw records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32,581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Total columns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12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Records after cleaning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32,409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Overall default rate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21.87%</w:t>
            </w:r>
          </w:p>
        </w:tc>
      </w:tr>
    </w:tbl>
    <w:p>
      <w:pPr>
        <w:pStyle w:val="Heading1"/>
        <w:spacing w:after="150" w:before="300"/>
      </w:pPr>
      <w:r>
        <w:t xml:space="preserve">3. Key Business Insights</w:t>
      </w:r>
    </w:p>
    <w:p>
      <w:pPr>
        <w:spacing w:after="120"/>
      </w:pPr>
      <w:r>
        <w:rPr>
          <w:i/>
          <w:iCs/>
          <w:color w:val="666666"/>
        </w:rPr>
        <w:t xml:space="preserve">Each insight below follows the pattern: Observation → Evidence → Business Implication.</w:t>
      </w:r>
    </w:p>
    <w:p>
      <w:pPr>
        <w:pStyle w:val="Heading2"/>
        <w:spacing w:after="120" w:before="250"/>
      </w:pPr>
      <w:r>
        <w:t xml:space="preserve">Insight 1 — Loan Grade is the Strongest Risk Predictor</w:t>
      </w:r>
    </w:p>
    <w:p>
      <w:pPr>
        <w:spacing w:after="120"/>
      </w:pPr>
      <w:r>
        <w:t xml:space="preserve">Default rate rises steadily from 9.96% (Grade A) to 98.44% (Grade G), with a sharp jump between Grade C (20.76%) and Grade D (59.05%).</w:t>
      </w:r>
    </w:p>
    <w:p>
      <w:pPr>
        <w:spacing w:after="120"/>
      </w:pPr>
      <w:r>
        <w:rPr>
          <w:b/>
          <w:bCs/>
        </w:rPr>
        <w:t xml:space="preserve">Business implication: The bank's grading model may need a stricter cutoff between C and D tier borrowers, since the risk profile changes abruptly rather than gradually at this boundary.</w:t>
      </w:r>
    </w:p>
    <w:p>
      <w:pPr>
        <w:pStyle w:val="Heading2"/>
        <w:spacing w:after="120" w:before="250"/>
      </w:pPr>
      <w:r>
        <w:t xml:space="preserve">Insight 2 — High Debt Burden Roughly Doubles Default Risk</w:t>
      </w:r>
    </w:p>
    <w:p>
      <w:pPr>
        <w:spacing w:after="120"/>
      </w:pPr>
      <w:r>
        <w:t xml:space="preserve">Loans where the amount exceeds 30% of the borrower's income default at 50.73%, versus 22.28% for the 21–30% bracket, and just 11.59% for under 10%.</w:t>
      </w:r>
    </w:p>
    <w:p>
      <w:pPr>
        <w:spacing w:after="120"/>
      </w:pPr>
      <w:r>
        <w:rPr>
          <w:b/>
          <w:bCs/>
        </w:rPr>
        <w:t xml:space="preserve">Business implication: Debt-to-income ratio above 30% is a strong candidate for a hard lending threshold or additional underwriting scrutiny.</w:t>
      </w:r>
    </w:p>
    <w:p>
      <w:pPr>
        <w:pStyle w:val="Heading2"/>
        <w:spacing w:after="120" w:before="250"/>
      </w:pPr>
      <w:r>
        <w:t xml:space="preserve">Insight 3 — Renters Default Over 4x More Than Homeowners</w:t>
      </w:r>
    </w:p>
    <w:p>
      <w:pPr>
        <w:spacing w:after="120"/>
      </w:pPr>
      <w:r>
        <w:t xml:space="preserve">Default rate is 31.61% for renters versus 7.49% for those who own their home outright, and 12.62% for those with a mortgage.</w:t>
      </w:r>
    </w:p>
    <w:p>
      <w:pPr>
        <w:spacing w:after="120"/>
      </w:pPr>
      <w:r>
        <w:rPr>
          <w:b/>
          <w:bCs/>
        </w:rPr>
        <w:t xml:space="preserve">Business implication: Home ownership status should carry significant weight in the bank's risk scoring model.</w:t>
      </w:r>
    </w:p>
    <w:p>
      <w:pPr>
        <w:pStyle w:val="Heading2"/>
        <w:spacing w:after="120" w:before="250"/>
      </w:pPr>
      <w:r>
        <w:t xml:space="preserve">Insight 4 — Income Has a Clean Inverse Relationship With Default</w:t>
      </w:r>
    </w:p>
    <w:p>
      <w:pPr>
        <w:spacing w:after="120"/>
      </w:pPr>
      <w:r>
        <w:t xml:space="preserve">Borrowers earning under ₹25K default at 54.61%, compared to 9.55% for those earning above ₹100K — a greater than 5x difference.</w:t>
      </w:r>
    </w:p>
    <w:p>
      <w:pPr>
        <w:spacing w:after="120"/>
      </w:pPr>
      <w:r>
        <w:rPr>
          <w:b/>
          <w:bCs/>
        </w:rPr>
        <w:t xml:space="preserve">Business implication: Income remains one of the most reliable and easily verifiable risk signals available to the bank.</w:t>
      </w:r>
    </w:p>
    <w:p>
      <w:pPr>
        <w:pStyle w:val="Heading2"/>
        <w:spacing w:after="120" w:before="250"/>
      </w:pPr>
      <w:r>
        <w:t xml:space="preserve">Insight 5 — Prior Default History Nearly Doubles Repeat Risk</w:t>
      </w:r>
    </w:p>
    <w:p>
      <w:pPr>
        <w:spacing w:after="120"/>
      </w:pPr>
      <w:r>
        <w:t xml:space="preserve">Borrowers with a default already on file default again at 37.86%, versus 18.44% for those with a clean credit history.</w:t>
      </w:r>
    </w:p>
    <w:p>
      <w:pPr>
        <w:spacing w:after="120"/>
      </w:pPr>
      <w:r>
        <w:rPr>
          <w:b/>
          <w:bCs/>
        </w:rPr>
        <w:t xml:space="preserve">Business implication: Credit history should remain a heavily weighted factor in any risk scoring model.</w:t>
      </w:r>
    </w:p>
    <w:p>
      <w:pPr>
        <w:pStyle w:val="Heading2"/>
        <w:spacing w:after="120" w:before="250"/>
      </w:pPr>
      <w:r>
        <w:t xml:space="preserve">Insight 6 — Debt Consolidation Loans Carry the Highest Purpose-Based Risk</w:t>
      </w:r>
    </w:p>
    <w:p>
      <w:pPr>
        <w:spacing w:after="120"/>
      </w:pPr>
      <w:r>
        <w:t xml:space="preserve">Debt consolidation loans default at 28.68%, nearly double the rate of venture loans (14.86%), likely because consolidation borrowers are often already in financial distress.</w:t>
      </w:r>
    </w:p>
    <w:p>
      <w:pPr>
        <w:spacing w:after="120"/>
      </w:pPr>
      <w:r>
        <w:rPr>
          <w:b/>
          <w:bCs/>
        </w:rPr>
        <w:t xml:space="preserve">Business implication: Loan purpose should factor into pricing and approval criteria, not just borrower profile.</w:t>
      </w:r>
    </w:p>
    <w:p>
      <w:pPr>
        <w:pStyle w:val="Heading2"/>
        <w:spacing w:after="120" w:before="250"/>
      </w:pPr>
      <w:r>
        <w:t xml:space="preserve">Insight 7 — Age Is Not a Meaningful Predictor of Default</w:t>
      </w:r>
    </w:p>
    <w:p>
      <w:pPr>
        <w:spacing w:after="120"/>
      </w:pPr>
      <w:r>
        <w:t xml:space="preserve">Default rates stay within a narrow 20.5%–25.3% band across all age groups, from under-25 to 55+.</w:t>
      </w:r>
    </w:p>
    <w:p>
      <w:pPr>
        <w:spacing w:after="120"/>
      </w:pPr>
      <w:r>
        <w:rPr>
          <w:b/>
          <w:bCs/>
        </w:rPr>
        <w:t xml:space="preserve">Business implication: The bank should avoid over-weighting age in risk models, as it shows little discriminatory power compared to income, grade, or debt burden.</w:t>
      </w:r>
    </w:p>
    <w:p>
      <w:pPr>
        <w:pStyle w:val="Heading2"/>
        <w:spacing w:after="120" w:before="250"/>
      </w:pPr>
      <w:r>
        <w:t xml:space="preserve">Insight 8 — Grade G Loans Are Almost Guaranteed to Default</w:t>
      </w:r>
    </w:p>
    <w:p>
      <w:pPr>
        <w:spacing w:after="120"/>
      </w:pPr>
      <w:r>
        <w:t xml:space="preserve">98.44% of Grade G loans (63 of 64) in the dataset defaulted, yet the bank continues to issue them.</w:t>
      </w:r>
    </w:p>
    <w:p>
      <w:pPr>
        <w:spacing w:after="120"/>
      </w:pPr>
      <w:r>
        <w:rPr>
          <w:b/>
          <w:bCs/>
        </w:rPr>
        <w:t xml:space="preserve">Business implication: Worth a policy review on whether Grade G lending is justifiable given the near-certain loss rate.</w:t>
      </w:r>
    </w:p>
    <w:p>
      <w:pPr>
        <w:pStyle w:val="Heading2"/>
        <w:spacing w:after="120" w:before="250"/>
      </w:pPr>
      <w:r>
        <w:t xml:space="preserve">Insight 9 — Overall Portfolio Baseline</w:t>
      </w:r>
    </w:p>
    <w:p>
      <w:pPr>
        <w:spacing w:after="120"/>
      </w:pPr>
      <w:r>
        <w:t xml:space="preserve">The overall default rate across the cleaned dataset is 21.87% (7,088 of 32,409 loans).</w:t>
      </w:r>
    </w:p>
    <w:p>
      <w:pPr>
        <w:spacing w:after="120"/>
      </w:pPr>
      <w:r>
        <w:rPr>
          <w:b/>
          <w:bCs/>
        </w:rPr>
        <w:t xml:space="preserve">Business implication: This serves as the baseline metric against which any future risk model or policy change should be measured.</w:t>
      </w:r>
    </w:p>
    <w:p>
      <w:pPr>
        <w:pStyle w:val="Heading2"/>
        <w:spacing w:after="120" w:before="250"/>
      </w:pPr>
      <w:r>
        <w:t xml:space="preserve">Insight 10 — Low Income + High Debt Burden Is Likely the Highest-Risk Segment</w:t>
      </w:r>
    </w:p>
    <w:p>
      <w:pPr>
        <w:spacing w:after="120"/>
      </w:pPr>
      <w:r>
        <w:t xml:space="preserve">Both low income (&lt;25K) and high debt burden (&gt;30%) independently show the highest default rates in their respective categories (54.61% and 50.73%).</w:t>
      </w:r>
    </w:p>
    <w:p>
      <w:pPr>
        <w:spacing w:after="120"/>
      </w:pPr>
      <w:r>
        <w:rPr>
          <w:b/>
          <w:bCs/>
        </w:rPr>
        <w:t xml:space="preserve">Business implication: A combined segment of low-income, high-debt-burden borrowers likely represents the bank's highest-risk group and warrants targeted underwriting rules. Recommended as a follow-up cross-tabulation query.</w:t>
      </w:r>
    </w:p>
    <w:p>
      <w:pPr>
        <w:pStyle w:val="Heading1"/>
        <w:spacing w:after="150" w:before="300"/>
      </w:pPr>
      <w:r>
        <w:t xml:space="preserve">4. Summary Table of Default Rates by Category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000"/>
      </w:tblGrid>
      <w:tr>
        <w:tc>
          <w:tcPr>
            <w:tcW w:type="dxa" w:w="32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8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Highest Risk Segment</w:t>
            </w:r>
          </w:p>
        </w:tc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Default Rate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Loan Grade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</w:rPr>
              <w:t xml:space="preserve">Grade G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98.44%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Debt Burden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</w:rPr>
              <w:t xml:space="preserve">Above 30% of income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50.73%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Income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</w:rPr>
              <w:t xml:space="preserve">Under ₹25K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54.61%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Home Ownership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</w:rPr>
              <w:t xml:space="preserve">Renting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31.61%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Loan Purpose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</w:rPr>
              <w:t xml:space="preserve">Debt Consolidation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28.68%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Prior Default History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</w:rPr>
              <w:t xml:space="preserve">Yes (on file)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37.86%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Age Group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</w:rPr>
              <w:t xml:space="preserve">55+ (weakest signal overall)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25.32%</w:t>
            </w:r>
          </w:p>
        </w:tc>
      </w:tr>
    </w:tbl>
    <w:p>
      <w:pPr>
        <w:pStyle w:val="Heading1"/>
        <w:spacing w:after="150" w:before="300"/>
      </w:pPr>
      <w:r>
        <w:t xml:space="preserve">5.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Tighten underwriting criteria for Grade D and below, given the sharp default-rate cliff after Grade 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Introduce a hard or soft cap on loans exceeding 30% of a borrower's income.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Weight home ownership status more heavily in the risk model, given its strong correlation with repayment.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Reconsider continued issuance of Grade G loans given the near-total default rate.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De-prioritize age as a risk factor in favor of income, grade, and debt burden, which show far stronger predictive signal.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Investigate combined low-income + high-debt-burden borrowers as a distinct high-risk segment for targeted policy.</w:t>
      </w:r>
    </w:p>
    <w:p>
      <w:pPr>
        <w:pStyle w:val="Heading1"/>
        <w:spacing w:after="150" w:before="300"/>
      </w:pPr>
      <w:r>
        <w:t xml:space="preserve">6. Next Steps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Day 2: Advanced SQL — risk segmentation (CASE-based buckets), window functions (RANK, running totals), trend analysis.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Day 3: Tableau dashboard, executive summary, and GitHub-ready project packaging.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2026-07-09T11:36:28.108Z</dcterms:created>
  <dcterms:modified xsi:type="dcterms:W3CDTF">2026-07-09T11:36:28.123Z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