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ngThun5"/>
        <w:tblpPr w:leftFromText="180" w:rightFromText="180" w:vertAnchor="text" w:horzAnchor="margin" w:tblpY="217"/>
        <w:tblW w:w="10020" w:type="dxa"/>
        <w:tblLayout w:type="fixed"/>
        <w:tblLook w:val="0600" w:firstRow="0" w:lastRow="0" w:firstColumn="0" w:lastColumn="0" w:noHBand="1" w:noVBand="1"/>
      </w:tblPr>
      <w:tblGrid>
        <w:gridCol w:w="4380"/>
        <w:gridCol w:w="5640"/>
      </w:tblGrid>
      <w:tr w:rsidR="00B22DF9" w:rsidRPr="00D501F3" w14:paraId="7810033D" w14:textId="77777777" w:rsidTr="007048E1">
        <w:trPr>
          <w:trHeight w:val="441"/>
        </w:trPr>
        <w:tc>
          <w:tcPr>
            <w:tcW w:w="4380" w:type="dxa"/>
          </w:tcPr>
          <w:p w14:paraId="2B6F60FD" w14:textId="77777777" w:rsidR="00B22DF9" w:rsidRPr="00D501F3" w:rsidRDefault="00B22DF9" w:rsidP="007048E1">
            <w:pPr>
              <w:ind w:left="100"/>
              <w:jc w:val="center"/>
              <w:rPr>
                <w:b/>
                <w:bCs/>
                <w:sz w:val="28"/>
                <w:szCs w:val="28"/>
                <w:lang w:val="vi-VN"/>
              </w:rPr>
            </w:pPr>
            <w:r w:rsidRPr="00D501F3">
              <w:rPr>
                <w:b/>
                <w:bCs/>
                <w:sz w:val="28"/>
                <w:szCs w:val="28"/>
                <w:lang w:val="vi-VN"/>
              </w:rPr>
              <w:t>BỘ GIÁO DỤC VÀ ĐÀO TẠO</w:t>
            </w:r>
          </w:p>
        </w:tc>
        <w:tc>
          <w:tcPr>
            <w:tcW w:w="5640" w:type="dxa"/>
          </w:tcPr>
          <w:p w14:paraId="6AE897AF" w14:textId="77777777" w:rsidR="00B22DF9" w:rsidRPr="00D501F3" w:rsidRDefault="00B22DF9" w:rsidP="007048E1">
            <w:pPr>
              <w:rPr>
                <w:b/>
                <w:bCs/>
                <w:sz w:val="28"/>
                <w:szCs w:val="28"/>
                <w:lang w:val="vi-VN"/>
              </w:rPr>
            </w:pPr>
            <w:r w:rsidRPr="00D501F3">
              <w:rPr>
                <w:b/>
                <w:bCs/>
                <w:sz w:val="28"/>
                <w:szCs w:val="28"/>
                <w:lang w:val="vi-VN"/>
              </w:rPr>
              <w:t>BỘ NÔNG NGHIỆP VÀ MÔI TRƯỜNG</w:t>
            </w:r>
          </w:p>
        </w:tc>
      </w:tr>
      <w:tr w:rsidR="00B22DF9" w:rsidRPr="00D501F3" w14:paraId="10EADDA7" w14:textId="77777777" w:rsidTr="007048E1">
        <w:trPr>
          <w:trHeight w:val="441"/>
        </w:trPr>
        <w:tc>
          <w:tcPr>
            <w:tcW w:w="10020" w:type="dxa"/>
            <w:gridSpan w:val="2"/>
          </w:tcPr>
          <w:p w14:paraId="1959464E" w14:textId="77777777" w:rsidR="00B22DF9" w:rsidRPr="00D501F3" w:rsidRDefault="00B22DF9" w:rsidP="007048E1">
            <w:pPr>
              <w:pStyle w:val="CoverB"/>
              <w:rPr>
                <w:lang w:val="vi-VN"/>
              </w:rPr>
            </w:pPr>
            <w:r w:rsidRPr="00D501F3">
              <w:rPr>
                <w:lang w:val="vi-VN"/>
              </w:rPr>
              <w:t>TRƯỜNG ĐẠI HỌC THỦY LỢI</w:t>
            </w:r>
          </w:p>
        </w:tc>
      </w:tr>
    </w:tbl>
    <w:p w14:paraId="1D4615CE" w14:textId="77777777" w:rsidR="00B22DF9" w:rsidRPr="00D501F3" w:rsidRDefault="00B22DF9" w:rsidP="00B22DF9"/>
    <w:p w14:paraId="24BF33EA" w14:textId="77777777" w:rsidR="00B22DF9" w:rsidRPr="00D501F3" w:rsidRDefault="00B22DF9" w:rsidP="00B22DF9">
      <w:pPr>
        <w:jc w:val="center"/>
      </w:pPr>
      <w:r w:rsidRPr="00D501F3">
        <w:drawing>
          <wp:inline distT="114300" distB="114300" distL="114300" distR="114300" wp14:anchorId="6CC88EBF" wp14:editId="651931B1">
            <wp:extent cx="2585085" cy="1571349"/>
            <wp:effectExtent l="0" t="0" r="5715"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587902" cy="1573061"/>
                    </a:xfrm>
                    <a:prstGeom prst="rect">
                      <a:avLst/>
                    </a:prstGeom>
                    <a:ln/>
                  </pic:spPr>
                </pic:pic>
              </a:graphicData>
            </a:graphic>
          </wp:inline>
        </w:drawing>
      </w:r>
    </w:p>
    <w:p w14:paraId="563754B3" w14:textId="77777777" w:rsidR="00B22DF9" w:rsidRPr="00D501F3" w:rsidRDefault="00B22DF9" w:rsidP="00B22DF9">
      <w:pPr>
        <w:jc w:val="center"/>
        <w:rPr>
          <w:b/>
          <w:bCs/>
          <w:sz w:val="28"/>
          <w:szCs w:val="28"/>
        </w:rPr>
      </w:pPr>
      <w:r w:rsidRPr="00D501F3">
        <w:rPr>
          <w:b/>
          <w:bCs/>
          <w:sz w:val="28"/>
          <w:szCs w:val="28"/>
        </w:rPr>
        <w:t>BÁO CÁO BÀI TẬP LỚN</w:t>
      </w:r>
    </w:p>
    <w:p w14:paraId="23B935D0" w14:textId="0D2AA6E5" w:rsidR="00B22DF9" w:rsidRPr="00D501F3" w:rsidRDefault="00B22DF9" w:rsidP="00B22DF9">
      <w:pPr>
        <w:jc w:val="center"/>
        <w:rPr>
          <w:b/>
          <w:bCs/>
          <w:sz w:val="28"/>
          <w:szCs w:val="28"/>
        </w:rPr>
      </w:pPr>
      <w:r w:rsidRPr="00D501F3">
        <w:rPr>
          <w:b/>
          <w:bCs/>
          <w:sz w:val="28"/>
          <w:szCs w:val="28"/>
        </w:rPr>
        <w:t xml:space="preserve">HỌC PHẦN </w:t>
      </w:r>
      <w:r>
        <w:rPr>
          <w:b/>
          <w:bCs/>
          <w:sz w:val="28"/>
          <w:szCs w:val="28"/>
        </w:rPr>
        <w:t>PHÂN TÍCH CHUỖI THỜI GIAN</w:t>
      </w:r>
    </w:p>
    <w:p w14:paraId="13523DCA" w14:textId="77777777" w:rsidR="00B22DF9" w:rsidRPr="00D501F3" w:rsidRDefault="00B22DF9" w:rsidP="00B22DF9">
      <w:pPr>
        <w:jc w:val="center"/>
      </w:pPr>
    </w:p>
    <w:p w14:paraId="55191DF6" w14:textId="16F73BC6" w:rsidR="00B22DF9" w:rsidRPr="00D501F3" w:rsidRDefault="00B22DF9" w:rsidP="00B22DF9">
      <w:pPr>
        <w:jc w:val="center"/>
        <w:rPr>
          <w:b/>
          <w:caps/>
          <w:sz w:val="28"/>
          <w:szCs w:val="28"/>
        </w:rPr>
      </w:pPr>
      <w:r>
        <w:rPr>
          <w:b/>
          <w:caps/>
          <w:sz w:val="28"/>
          <w:szCs w:val="28"/>
        </w:rPr>
        <w:t xml:space="preserve">XÂY DỰNG HỆ THỐNG </w:t>
      </w:r>
      <w:r w:rsidR="00CE295D">
        <w:rPr>
          <w:b/>
          <w:caps/>
          <w:sz w:val="28"/>
          <w:szCs w:val="28"/>
        </w:rPr>
        <w:t>dự báo cổ phiếu việt nam dựa trên kiến trúc transformer kronos</w:t>
      </w:r>
    </w:p>
    <w:tbl>
      <w:tblPr>
        <w:tblW w:w="6946" w:type="dxa"/>
        <w:tblInd w:w="1418" w:type="dxa"/>
        <w:tblLayout w:type="fixed"/>
        <w:tblLook w:val="0600" w:firstRow="0" w:lastRow="0" w:firstColumn="0" w:lastColumn="0" w:noHBand="1" w:noVBand="1"/>
      </w:tblPr>
      <w:tblGrid>
        <w:gridCol w:w="3118"/>
        <w:gridCol w:w="3828"/>
      </w:tblGrid>
      <w:tr w:rsidR="00B22DF9" w:rsidRPr="00D501F3" w14:paraId="274CB81F" w14:textId="77777777" w:rsidTr="007048E1">
        <w:trPr>
          <w:trHeight w:val="1332"/>
        </w:trPr>
        <w:tc>
          <w:tcPr>
            <w:tcW w:w="3118" w:type="dxa"/>
          </w:tcPr>
          <w:p w14:paraId="3F9F4D52" w14:textId="77777777" w:rsidR="00B22DF9" w:rsidRPr="00D501F3" w:rsidRDefault="00B22DF9" w:rsidP="007048E1">
            <w:pPr>
              <w:widowControl w:val="0"/>
              <w:pBdr>
                <w:top w:val="nil"/>
                <w:left w:val="nil"/>
                <w:bottom w:val="nil"/>
                <w:right w:val="nil"/>
                <w:between w:val="nil"/>
              </w:pBdr>
              <w:spacing w:line="240" w:lineRule="auto"/>
              <w:jc w:val="right"/>
            </w:pPr>
            <w:r w:rsidRPr="00D501F3">
              <w:t>Sinh viên thực hiện:</w:t>
            </w:r>
          </w:p>
        </w:tc>
        <w:tc>
          <w:tcPr>
            <w:tcW w:w="3828" w:type="dxa"/>
          </w:tcPr>
          <w:p w14:paraId="5D660C4B" w14:textId="77777777" w:rsidR="00B22DF9" w:rsidRDefault="00B22DF9" w:rsidP="007048E1">
            <w:pPr>
              <w:widowControl w:val="0"/>
              <w:pBdr>
                <w:top w:val="nil"/>
                <w:left w:val="nil"/>
                <w:bottom w:val="nil"/>
                <w:right w:val="nil"/>
                <w:between w:val="nil"/>
              </w:pBdr>
              <w:spacing w:line="240" w:lineRule="auto"/>
            </w:pPr>
            <w:r w:rsidRPr="00D501F3">
              <w:t>Nguyễn Văn Minh</w:t>
            </w:r>
          </w:p>
          <w:p w14:paraId="2EF27A5B" w14:textId="77777777" w:rsidR="00B22DF9" w:rsidRPr="00D501F3" w:rsidRDefault="00B22DF9" w:rsidP="007048E1">
            <w:pPr>
              <w:widowControl w:val="0"/>
              <w:pBdr>
                <w:top w:val="nil"/>
                <w:left w:val="nil"/>
                <w:bottom w:val="nil"/>
                <w:right w:val="nil"/>
                <w:between w:val="nil"/>
              </w:pBdr>
              <w:spacing w:line="240" w:lineRule="auto"/>
            </w:pPr>
            <w:r>
              <w:t>2351260673</w:t>
            </w:r>
          </w:p>
        </w:tc>
      </w:tr>
      <w:tr w:rsidR="00B22DF9" w:rsidRPr="00D501F3" w14:paraId="0143B875" w14:textId="77777777" w:rsidTr="007048E1">
        <w:trPr>
          <w:trHeight w:val="298"/>
        </w:trPr>
        <w:tc>
          <w:tcPr>
            <w:tcW w:w="3118" w:type="dxa"/>
          </w:tcPr>
          <w:p w14:paraId="4540468B" w14:textId="77777777" w:rsidR="00B22DF9" w:rsidRPr="00D501F3" w:rsidRDefault="00B22DF9" w:rsidP="007048E1">
            <w:pPr>
              <w:jc w:val="right"/>
            </w:pPr>
            <w:r w:rsidRPr="00D501F3">
              <w:t>Giảng viên hướng dẫn:</w:t>
            </w:r>
          </w:p>
        </w:tc>
        <w:tc>
          <w:tcPr>
            <w:tcW w:w="3828" w:type="dxa"/>
          </w:tcPr>
          <w:p w14:paraId="4DDF0EB3" w14:textId="13BE4711" w:rsidR="00B22DF9" w:rsidRPr="00D501F3" w:rsidRDefault="00B22DF9" w:rsidP="007048E1">
            <w:r w:rsidRPr="00D501F3">
              <w:t xml:space="preserve">ThS. </w:t>
            </w:r>
            <w:r w:rsidR="00CE295D">
              <w:t>Trần Anh Đạt</w:t>
            </w:r>
          </w:p>
        </w:tc>
      </w:tr>
    </w:tbl>
    <w:p w14:paraId="1E08024D" w14:textId="77777777" w:rsidR="00B22DF9" w:rsidRPr="00D501F3" w:rsidRDefault="00B22DF9" w:rsidP="00B22DF9">
      <w:pPr>
        <w:jc w:val="center"/>
      </w:pPr>
    </w:p>
    <w:p w14:paraId="344CF461" w14:textId="77777777" w:rsidR="00B22DF9" w:rsidRPr="00D501F3" w:rsidRDefault="00B22DF9" w:rsidP="00B22DF9">
      <w:pPr>
        <w:jc w:val="center"/>
      </w:pPr>
    </w:p>
    <w:p w14:paraId="0747F942" w14:textId="77777777" w:rsidR="00B22DF9" w:rsidRPr="00D501F3" w:rsidRDefault="00B22DF9" w:rsidP="00B22DF9">
      <w:pPr>
        <w:jc w:val="center"/>
      </w:pPr>
    </w:p>
    <w:p w14:paraId="6F3203CC" w14:textId="77777777" w:rsidR="00B22DF9" w:rsidRDefault="00B22DF9" w:rsidP="00B22DF9">
      <w:pPr>
        <w:jc w:val="center"/>
        <w:rPr>
          <w:sz w:val="28"/>
          <w:szCs w:val="28"/>
        </w:rPr>
      </w:pPr>
      <w:r w:rsidRPr="00D501F3">
        <w:br/>
      </w:r>
      <w:r w:rsidRPr="00D501F3">
        <w:rPr>
          <w:sz w:val="28"/>
          <w:szCs w:val="28"/>
        </w:rPr>
        <w:t>Hà Nội, năm 2026</w:t>
      </w:r>
    </w:p>
    <w:p w14:paraId="26F3C7BB" w14:textId="05B913B9" w:rsidR="00CE295D" w:rsidRDefault="00CE295D">
      <w:pPr>
        <w:spacing w:line="276" w:lineRule="auto"/>
        <w:jc w:val="left"/>
      </w:pPr>
      <w:r>
        <w:br w:type="page"/>
      </w:r>
    </w:p>
    <w:p w14:paraId="28364AB1" w14:textId="45DC41C4" w:rsidR="00CE295D" w:rsidRDefault="00CE295D">
      <w:pPr>
        <w:spacing w:line="276" w:lineRule="auto"/>
        <w:jc w:val="left"/>
      </w:pPr>
      <w:r>
        <w:lastRenderedPageBreak/>
        <w:br w:type="page"/>
      </w:r>
    </w:p>
    <w:p w14:paraId="2DD3D166" w14:textId="5A23CA2E" w:rsidR="003F4E11" w:rsidRDefault="00CE295D" w:rsidP="00CE295D">
      <w:pPr>
        <w:pStyle w:val="CoverB"/>
      </w:pPr>
      <w:r>
        <w:lastRenderedPageBreak/>
        <w:t>LỜI MỞ ĐẦU</w:t>
      </w:r>
    </w:p>
    <w:p w14:paraId="71264D52" w14:textId="79939C4C" w:rsidR="00E36040" w:rsidRPr="00E36040" w:rsidRDefault="00E36040" w:rsidP="00E36040">
      <w:r w:rsidRPr="00E36040">
        <w:t>Sự phát triển của trí tuệ nhân tạo trong tài chính định lượng đã chứng kiến sự trỗi dậy của các mô hình nền tảng (Foundation Models) cho chuỗi thời gian. Thay vì xây dựng mô hình từ đầu cho từng thị trường, các kiến trúc như Kronos</w:t>
      </w:r>
      <w:r>
        <w:t xml:space="preserve"> </w:t>
      </w:r>
      <w:sdt>
        <w:sdtPr>
          <w:rPr>
            <w:color w:val="000000"/>
          </w:rPr>
          <w:tag w:val="MENDELEY_CITATION_v3_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"/>
          <w:id w:val="1556199697"/>
          <w:placeholder>
            <w:docPart w:val="DefaultPlaceholder_-1854013440"/>
          </w:placeholder>
        </w:sdtPr>
        <w:sdtContent>
          <w:r w:rsidR="00C96432" w:rsidRPr="00C96432">
            <w:rPr>
              <w:color w:val="000000"/>
            </w:rPr>
            <w:t>[1]</w:t>
          </w:r>
        </w:sdtContent>
      </w:sdt>
      <w:r w:rsidRPr="00E36040">
        <w:t xml:space="preserve"> được huấn luyện trước trên hàng tỷ điểm dữ liệu từ 45 sàn giao dịch toàn cầu, biến bài toán dự báo thành bài toán sinh ngôn ngữ. Tuy nhiên, phần lớn các mô hình này được thiết kế và kiểm chứng trên các thị trường phát triển, có tính thanh khoản cao và lịch sử dữ liệu dài, trong khi các thị trường biên (Frontier)</w:t>
      </w:r>
      <w:sdt>
        <w:sdtPr>
          <w:rPr>
            <w:color w:val="000000"/>
          </w:rPr>
          <w:tag w:val="MENDELEY_CITATION_v3_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"/>
          <w:id w:val="-1421864398"/>
          <w:placeholder>
            <w:docPart w:val="DefaultPlaceholder_-1854013440"/>
          </w:placeholder>
        </w:sdtPr>
        <w:sdtContent>
          <w:r w:rsidR="00C96432" w:rsidRPr="00C96432">
            <w:rPr>
              <w:color w:val="000000"/>
            </w:rPr>
            <w:t>[2]</w:t>
          </w:r>
        </w:sdtContent>
      </w:sdt>
      <w:r w:rsidRPr="00E36040">
        <w:t xml:space="preserve"> với những đặc thù riêng về cơ chế giao dịch, cấu trúc nhà đầu tư và sự hạn chế về dữ liệu vẫn là một khoảng trống nghiên cứu đáng kể.</w:t>
      </w:r>
    </w:p>
    <w:p w14:paraId="657123F8" w14:textId="65B46344" w:rsidR="00E36040" w:rsidRPr="00E36040" w:rsidRDefault="00E36040" w:rsidP="00E36040">
      <w:r w:rsidRPr="00E36040">
        <w:t>Thị trường chứng khoán Việt Nam là một đại diện tiêu biểu cho nhóm Frontier</w:t>
      </w:r>
      <w:sdt>
        <w:sdtPr>
          <w:rPr>
            <w:color w:val="000000"/>
          </w:rPr>
          <w:tag w:val="MENDELEY_CITATION_v3_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"/>
          <w:id w:val="1419448772"/>
          <w:placeholder>
            <w:docPart w:val="DefaultPlaceholder_-1854013440"/>
          </w:placeholder>
        </w:sdtPr>
        <w:sdtContent>
          <w:r w:rsidR="00C96432" w:rsidRPr="00C96432">
            <w:rPr>
              <w:color w:val="000000"/>
            </w:rPr>
            <w:t>[2]</w:t>
          </w:r>
        </w:sdtContent>
      </w:sdt>
      <w:r w:rsidRPr="00E36040">
        <w:t xml:space="preserve"> với các ràng buộc đặc thù: biên độ giá bị chặn ±7%</w:t>
      </w:r>
      <w:r w:rsidR="006B6354">
        <w:t xml:space="preserve"> </w:t>
      </w:r>
      <w:sdt>
        <w:sdtPr>
          <w:rPr>
            <w:color w:val="000000"/>
          </w:rPr>
          <w:tag w:val="MENDELEY_CITATION_v3_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"/>
          <w:id w:val="-840007231"/>
          <w:placeholder>
            <w:docPart w:val="DefaultPlaceholder_-1854013440"/>
          </w:placeholder>
        </w:sdtPr>
        <w:sdtContent>
          <w:r w:rsidR="00C96432" w:rsidRPr="00C96432">
            <w:rPr>
              <w:color w:val="000000"/>
            </w:rPr>
            <w:t>[3]</w:t>
          </w:r>
        </w:sdtContent>
      </w:sdt>
      <w:r w:rsidRPr="00E36040">
        <w:t>, cơ chế thanh toán T+2</w:t>
      </w:r>
      <w:r w:rsidR="006B6354">
        <w:t xml:space="preserve"> </w:t>
      </w:r>
      <w:sdt>
        <w:sdtPr>
          <w:rPr>
            <w:color w:val="000000"/>
          </w:rPr>
          <w:tag w:val="MENDELEY_CITATION_v3_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"/>
          <w:id w:val="1725106265"/>
          <w:placeholder>
            <w:docPart w:val="DefaultPlaceholder_-1854013440"/>
          </w:placeholder>
        </w:sdtPr>
        <w:sdtContent>
          <w:r w:rsidR="00C96432" w:rsidRPr="00C96432">
            <w:rPr>
              <w:color w:val="000000"/>
            </w:rPr>
            <w:t>[4]</w:t>
          </w:r>
        </w:sdtContent>
      </w:sdt>
      <w:r w:rsidRPr="00E36040">
        <w:t>, thời gian giao dịch ngắn (4,75 giờ/phiên)</w:t>
      </w:r>
      <w:r w:rsidR="006B6354">
        <w:t xml:space="preserve"> </w:t>
      </w:r>
      <w:sdt>
        <w:sdtPr>
          <w:rPr>
            <w:color w:val="000000"/>
          </w:rPr>
          <w:tag w:val="MENDELEY_CITATION_v3_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"/>
          <w:id w:val="631825962"/>
          <w:placeholder>
            <w:docPart w:val="DefaultPlaceholder_-1854013440"/>
          </w:placeholder>
        </w:sdtPr>
        <w:sdtContent>
          <w:r w:rsidR="00C96432" w:rsidRPr="00C96432">
            <w:rPr>
              <w:color w:val="000000"/>
            </w:rPr>
            <w:t>[3]</w:t>
          </w:r>
        </w:sdtContent>
      </w:sdt>
      <w:r w:rsidRPr="00E36040">
        <w:t xml:space="preserve"> và sự thống trị của nhà đầu tư cá nhân. Bên cạnh đó, hạ tầng dữ liệu còn hạn chế: nguồn dữ liệu nến ngày là khả thi duy nhất cho nghiên cứu định lượng, trong khi dữ liệu tần suất cao không có kho lưu trữ lịch sử đầy đủ. Những yếu tố này tạo ra một “khoảng cách phân phối” (distribution gap) đáng kể so với dữ liệu tiền huấn luyện của Kronos, đặt ra câu hỏi về khả năng thích nghi của mô hình nền tảng trên một thị trường nhỏ với chỉ vài chục chuỗi thời gian độc lập.</w:t>
      </w:r>
    </w:p>
    <w:p w14:paraId="407DD190" w14:textId="77777777" w:rsidR="00E36040" w:rsidRPr="00E36040" w:rsidRDefault="00E36040" w:rsidP="00E36040">
      <w:r w:rsidRPr="00E36040">
        <w:t>Mục tiêu của nghiên cứu này là áp dụng mô hình Kronos để dự báo nến giá (OHLCV) cho 50 cổ phiếu thanh khoản nhất Việt Nam (VN30 và 20 mã Midcap hàng đầu) với tầm nhìn 5 ngày giao dịch. Nghiên cứu không đặt mục tiêu xây dựng một công cụ giao dịch siêu lợi nhuận, mà tập trung trả lời câu hỏi cốt lõi: liệu một mô hình nền tảng toàn cầu có thể được “cá nhân hóa” cho một thị trường biên chỉ thông qua fine-tuning có kiểm soát hay không. Từ dự báo nến, các phân tích về xu hướng và rủi ro được suy luận bằng logic nghiệp vụ thuần túy, không can thiệp vào kiến trúc mạng, nhằm đảm bảo tính minh bạch và tránh rủi ro overfitting trên tập dữ liệu nhỏ.</w:t>
      </w:r>
    </w:p>
    <w:p w14:paraId="35DD4D71" w14:textId="12300E2E" w:rsidR="001A31C0" w:rsidRDefault="00E36040" w:rsidP="00E36040">
      <w:r w:rsidRPr="00E36040">
        <w:t xml:space="preserve">Phần còn lại của báo cáo được tổ chức như sau: Phần I tóm tắt bối cảnh thị trường, các phương pháp dự báo hiện có và giới thiệu mô hình Kronos cùng những thách thức phân phối dữ liệu. Phần II trình bày chi tiết cơ sở lý thuyết và toàn bộ quy trình triển khai, từ thu thập dữ liệu, tiền xử lý, thiết kế huấn luyện hai giai đoạn cho đến suy luận và logic </w:t>
      </w:r>
      <w:r w:rsidRPr="00E36040">
        <w:lastRenderedPageBreak/>
        <w:t>nghiệp vụ. Phần III mô tả thiết lập thực nghiệm walk-forward và các kết quả đánh giá trên nhiều chiều cạnh. Cuối cùng, Phần IV tổng kết đóng góp, nhìn nhận thẳng thắn các hạn chế, và đề xuất hướng phát triển trong tương lai.</w:t>
      </w:r>
    </w:p>
    <w:p w14:paraId="589CA7AB" w14:textId="77777777" w:rsidR="001A31C0" w:rsidRDefault="001A31C0">
      <w:pPr>
        <w:spacing w:line="276" w:lineRule="auto"/>
        <w:jc w:val="left"/>
      </w:pPr>
      <w:r>
        <w:br w:type="page"/>
      </w:r>
    </w:p>
    <w:p w14:paraId="501008D7" w14:textId="4DE4DA98" w:rsidR="00E36040" w:rsidRDefault="001A31C0" w:rsidP="001A31C0">
      <w:pPr>
        <w:pStyle w:val="u1"/>
      </w:pPr>
      <w:r>
        <w:lastRenderedPageBreak/>
        <w:t>TỔNG QUAN BÀI TOÁN</w:t>
      </w:r>
    </w:p>
    <w:p w14:paraId="0664E2A8" w14:textId="52AA5892" w:rsidR="001A31C0" w:rsidRDefault="001A31C0" w:rsidP="001A31C0">
      <w:pPr>
        <w:pStyle w:val="u2"/>
      </w:pPr>
      <w:r>
        <w:t>Đặc điểm thị trường chứng khoán Việt Nam</w:t>
      </w:r>
    </w:p>
    <w:p w14:paraId="2ECE123C" w14:textId="0520EA8A" w:rsidR="004030D4" w:rsidRDefault="001A31C0" w:rsidP="004030D4">
      <w:pPr>
        <w:rPr>
          <w:rFonts w:eastAsiaTheme="minorHAnsi"/>
          <w:lang w:eastAsia="en-US"/>
        </w:rPr>
      </w:pPr>
      <w:r w:rsidRPr="001A31C0">
        <w:rPr>
          <w:rFonts w:eastAsiaTheme="minorHAnsi"/>
          <w:lang w:eastAsia="en-US"/>
        </w:rPr>
        <w:t xml:space="preserve">Thị trường chứng khoán Việt Nam hiện được MSCI phân loại vào nhóm thị trường cận biên (Frontier) </w:t>
      </w:r>
      <w:sdt>
        <w:sdtPr>
          <w:rPr>
            <w:rFonts w:eastAsiaTheme="minorHAnsi"/>
            <w:color w:val="000000"/>
            <w:lang w:eastAsia="en-US"/>
          </w:rPr>
          <w:tag w:val="MENDELEY_CITATION_v3_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"/>
          <w:id w:val="221486971"/>
          <w:placeholder>
            <w:docPart w:val="DefaultPlaceholder_-1854013440"/>
          </w:placeholder>
        </w:sdtPr>
        <w:sdtContent>
          <w:r w:rsidR="00C96432" w:rsidRPr="00C96432">
            <w:rPr>
              <w:rFonts w:eastAsiaTheme="minorHAnsi"/>
              <w:color w:val="000000"/>
              <w:lang w:eastAsia="en-US"/>
            </w:rPr>
            <w:t>[2]</w:t>
          </w:r>
        </w:sdtContent>
      </w:sdt>
      <w:r>
        <w:rPr>
          <w:rFonts w:eastAsiaTheme="minorHAnsi"/>
          <w:lang w:eastAsia="en-US"/>
        </w:rPr>
        <w:t xml:space="preserve">. </w:t>
      </w:r>
      <w:r w:rsidRPr="001A31C0">
        <w:rPr>
          <w:rFonts w:eastAsiaTheme="minorHAnsi"/>
          <w:lang w:eastAsia="en-US"/>
        </w:rPr>
        <w:t xml:space="preserve">Khác với các thị trường phát triển, thị trường Việt Nam tồn tại ba đặc điểm cấu trúc có ảnh hưởng trực tiếp đến việc xây dựng mô hình dự báo. Thứ nhất, biên độ dao động giá bị giới hạn cứng ở mức ±7% tại Sở Giao dịch Chứng khoán Thành phố Hồ Chí Minh (HOSE) </w:t>
      </w:r>
      <w:sdt>
        <w:sdtPr>
          <w:rPr>
            <w:rFonts w:eastAsiaTheme="minorHAnsi"/>
            <w:color w:val="000000"/>
            <w:lang w:eastAsia="en-US"/>
          </w:rPr>
          <w:tag w:val="MENDELEY_CITATION_v3_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"/>
          <w:id w:val="-1317568042"/>
          <w:placeholder>
            <w:docPart w:val="DefaultPlaceholder_-1854013440"/>
          </w:placeholder>
        </w:sdtPr>
        <w:sdtContent>
          <w:r w:rsidR="00C96432" w:rsidRPr="00C96432">
            <w:rPr>
              <w:rFonts w:eastAsiaTheme="minorHAnsi"/>
              <w:color w:val="000000"/>
              <w:lang w:eastAsia="en-US"/>
            </w:rPr>
            <w:t>[3]</w:t>
          </w:r>
        </w:sdtContent>
      </w:sdt>
      <w:r w:rsidRPr="001A31C0">
        <w:rPr>
          <w:rFonts w:eastAsiaTheme="minorHAnsi"/>
          <w:lang w:eastAsia="en-US"/>
        </w:rPr>
        <w:t xml:space="preserve">, tạo ra phân phối lợi suất bị cắt cụt đuôi (censored tails), khác biệt với phân phối đuôi dày điển hình trên các thị trường tự do. Thứ hai, cơ chế thanh toán T+2 có hiệu lực từ tháng 8 năm 2023 </w:t>
      </w:r>
      <w:sdt>
        <w:sdtPr>
          <w:rPr>
            <w:rFonts w:eastAsiaTheme="minorHAnsi"/>
            <w:color w:val="000000"/>
            <w:lang w:eastAsia="en-US"/>
          </w:rPr>
          <w:tag w:val="MENDELEY_CITATION_v3_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"/>
          <w:id w:val="-2104092296"/>
          <w:placeholder>
            <w:docPart w:val="DefaultPlaceholder_-1854013440"/>
          </w:placeholder>
        </w:sdtPr>
        <w:sdtContent>
          <w:r w:rsidR="00C96432" w:rsidRPr="00C96432">
            <w:rPr>
              <w:rFonts w:eastAsiaTheme="minorHAnsi"/>
              <w:color w:val="000000"/>
              <w:lang w:eastAsia="en-US"/>
            </w:rPr>
            <w:t>[3]</w:t>
          </w:r>
        </w:sdtContent>
      </w:sdt>
      <w:r w:rsidRPr="001A31C0">
        <w:rPr>
          <w:rFonts w:eastAsiaTheme="minorHAnsi"/>
          <w:lang w:eastAsia="en-US"/>
        </w:rPr>
        <w:t xml:space="preserve"> khiến nhà đầu tư phải chờ hai ngày sau khi mua mới có thể bán cổ phiếu, làm giảm hiệu quả của các chiến lược giao dịch ngắn hạn và tăng nhu cầu dự báo với tầm nhìn từ ba đến năm ngày. Thứ ba, phiên giao dịch kéo dài 4 giờ 45 phút, bị ngắt quãng bởi khoảng nghỉ trưa 1,5 giờ </w:t>
      </w:r>
      <w:sdt>
        <w:sdtPr>
          <w:rPr>
            <w:rFonts w:eastAsiaTheme="minorHAnsi"/>
            <w:color w:val="000000"/>
            <w:lang w:eastAsia="en-US"/>
          </w:rPr>
          <w:tag w:val="MENDELEY_CITATION_v3_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"/>
          <w:id w:val="-108196249"/>
          <w:placeholder>
            <w:docPart w:val="DefaultPlaceholder_-1854013440"/>
          </w:placeholder>
        </w:sdtPr>
        <w:sdtContent>
          <w:r w:rsidR="00C96432" w:rsidRPr="00C96432">
            <w:rPr>
              <w:rFonts w:eastAsiaTheme="minorHAnsi"/>
              <w:color w:val="000000"/>
              <w:lang w:eastAsia="en-US"/>
            </w:rPr>
            <w:t>[3]</w:t>
          </w:r>
        </w:sdtContent>
      </w:sdt>
      <w:r w:rsidRPr="001A31C0">
        <w:rPr>
          <w:rFonts w:eastAsiaTheme="minorHAnsi"/>
          <w:lang w:eastAsia="en-US"/>
        </w:rPr>
        <w:t xml:space="preserve">, tạo ra mẫu hình thanh khoản nội phiên không đồng nhất. Về thành phần thị trường, nhà đầu tư cá nhân chiếm </w:t>
      </w:r>
      <w:r>
        <w:rPr>
          <w:rFonts w:eastAsiaTheme="minorHAnsi"/>
          <w:lang w:eastAsia="en-US"/>
        </w:rPr>
        <w:t>lượng lớn khối lượng giao dịch</w:t>
      </w:r>
      <w:r w:rsidR="00AF4153">
        <w:rPr>
          <w:rFonts w:eastAsiaTheme="minorHAnsi"/>
          <w:lang w:eastAsia="en-US"/>
        </w:rPr>
        <w:t xml:space="preserve"> </w:t>
      </w:r>
      <w:sdt>
        <w:sdtPr>
          <w:rPr>
            <w:rFonts w:eastAsiaTheme="minorHAnsi"/>
            <w:color w:val="000000"/>
            <w:lang w:eastAsia="en-US"/>
          </w:rPr>
          <w:tag w:val="MENDELEY_CITATION_v3_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"/>
          <w:id w:val="-94325760"/>
          <w:placeholder>
            <w:docPart w:val="DefaultPlaceholder_-1854013440"/>
          </w:placeholder>
        </w:sdtPr>
        <w:sdtContent>
          <w:r w:rsidR="00C96432" w:rsidRPr="00C96432">
            <w:rPr>
              <w:rFonts w:eastAsiaTheme="minorHAnsi"/>
              <w:color w:val="000000"/>
              <w:lang w:eastAsia="en-US"/>
            </w:rPr>
            <w:t>[5]</w:t>
          </w:r>
        </w:sdtContent>
      </w:sdt>
      <w:r>
        <w:rPr>
          <w:rFonts w:eastAsiaTheme="minorHAnsi"/>
          <w:lang w:eastAsia="en-US"/>
        </w:rPr>
        <w:t xml:space="preserve"> </w:t>
      </w:r>
      <w:r w:rsidRPr="001A31C0">
        <w:rPr>
          <w:rFonts w:eastAsiaTheme="minorHAnsi"/>
          <w:lang w:eastAsia="en-US"/>
        </w:rPr>
        <w:t>khiến hành vi giá chịu ảnh hưởng mạnh của tâm lý bầy đàn và nhiễu vi cấu trúc cao hơn so với các thị trường do tổ chức dẫn dắt.</w:t>
      </w:r>
    </w:p>
    <w:p w14:paraId="281B2953" w14:textId="3424DF44" w:rsidR="00AF4153" w:rsidRDefault="00AF4153" w:rsidP="004030D4">
      <w:pPr>
        <w:rPr>
          <w:rFonts w:eastAsiaTheme="minorHAnsi"/>
          <w:lang w:eastAsia="en-US"/>
        </w:rPr>
      </w:pPr>
      <w:r>
        <w:rPr>
          <w:rFonts w:eastAsiaTheme="minorHAnsi"/>
          <w:lang w:eastAsia="en-US"/>
        </w:rPr>
        <w:t>V</w:t>
      </w:r>
      <w:r w:rsidRPr="00AF4153">
        <w:rPr>
          <w:rFonts w:eastAsiaTheme="minorHAnsi"/>
          <w:lang w:eastAsia="en-US"/>
        </w:rPr>
        <w:t xml:space="preserve">ề mặt dữ liệu, các nguồn mở phổ biến tại Việt Nam như thư viện vnstock chỉ cung cấp dữ liệu lịch sử đầy đủ cho nến ngày (1D) thông qua API của các công ty chứng khoán SSI, TCBS và VCI </w:t>
      </w:r>
      <w:sdt>
        <w:sdtPr>
          <w:rPr>
            <w:rFonts w:eastAsiaTheme="minorHAnsi"/>
            <w:color w:val="000000"/>
            <w:lang w:eastAsia="en-US"/>
          </w:rPr>
          <w:tag w:val="MENDELEY_CITATION_v3_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"/>
          <w:id w:val="-1606575916"/>
          <w:placeholder>
            <w:docPart w:val="DefaultPlaceholder_-1854013440"/>
          </w:placeholder>
        </w:sdtPr>
        <w:sdtContent>
          <w:r w:rsidR="00C96432" w:rsidRPr="00C96432">
            <w:rPr>
              <w:rFonts w:eastAsiaTheme="minorHAnsi"/>
              <w:color w:val="000000"/>
              <w:lang w:eastAsia="en-US"/>
            </w:rPr>
            <w:t>[6]</w:t>
          </w:r>
        </w:sdtContent>
      </w:sdt>
      <w:r w:rsidRPr="00AF4153">
        <w:rPr>
          <w:rFonts w:eastAsiaTheme="minorHAnsi"/>
          <w:lang w:eastAsia="en-US"/>
        </w:rPr>
        <w:t>. Dữ liệu tần suất cao hơn (1H, 15 phút) không có kho lưu trữ lịch sử sâu do hạn chế về chính sách lưu trữ và băng thông API của các công ty chứng khoán. Điều này đặt ra ràng buộc cứng đối với mọi nghiên cứu định lượng: chỉ có nến ngày là khả thi cho việc huấn luyện mô hình học sâu yêu cầu chuỗi thời gian dài.</w:t>
      </w:r>
    </w:p>
    <w:p w14:paraId="61E10B46" w14:textId="3885728A" w:rsidR="00AF4153" w:rsidRPr="00AF4153" w:rsidRDefault="00AF4153" w:rsidP="00AF4153">
      <w:pPr>
        <w:pStyle w:val="u2"/>
      </w:pPr>
      <w:r w:rsidRPr="00AF4153">
        <w:t>Các phương pháp dự báo và sự trỗi dậy của Foundation Model</w:t>
      </w:r>
    </w:p>
    <w:p w14:paraId="117A6795" w14:textId="26005612" w:rsidR="00AF4153" w:rsidRPr="00AF4153" w:rsidRDefault="00AF4153" w:rsidP="00AF4153">
      <w:r w:rsidRPr="00AF4153">
        <w:t xml:space="preserve">Các phương pháp dự báo chuỗi thời gian tài chính truyền thống có thể được chia thành ba nhóm chính. Nhóm thứ nhất là các mô hình thống kê như ARIMA, vốn dựa trên giả định tuyến tính và tính dừng của chuỗi, tỏ ra kém hiệu quả trên dữ liệu tài chính phi tuyến và có phương sai thay đổi theo thời gian </w:t>
      </w:r>
      <w:sdt>
        <w:sdtPr>
          <w:rPr>
            <w:color w:val="000000"/>
          </w:rPr>
          <w:tag w:val="MENDELEY_CITATION_v3_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"/>
          <w:id w:val="-178047756"/>
          <w:placeholder>
            <w:docPart w:val="DefaultPlaceholder_-1854013440"/>
          </w:placeholder>
        </w:sdtPr>
        <w:sdtContent>
          <w:r w:rsidR="00C96432" w:rsidRPr="00C96432">
            <w:rPr>
              <w:color w:val="000000"/>
            </w:rPr>
            <w:t>[7]</w:t>
          </w:r>
        </w:sdtContent>
      </w:sdt>
      <w:r w:rsidRPr="00AF4153">
        <w:t xml:space="preserve">. Nhóm thứ hai là các phương pháp học máy cổ điển như Random Forest và SVM, cung cấp khả năng nắm bắt quan hệ phi tuyến nhưng vẫn phụ thuộc nhiều vào kỹ thuật trích xuất đặc trưng thủ công </w:t>
      </w:r>
      <w:sdt>
        <w:sdtPr>
          <w:rPr>
            <w:color w:val="000000"/>
          </w:rPr>
          <w:tag w:val="MENDELEY_CITATION_v3_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cHVibGlzaGVyIjoiU3ByaW5nZXIiLCJpc3N1ZSI6IjEiLCJ2b2x1bWUiOiI0NSJ9LCJpc1RlbXBvcmFyeSI6ZmFsc2V9XX0="/>
          <w:id w:val="176858809"/>
          <w:placeholder>
            <w:docPart w:val="DefaultPlaceholder_-1854013440"/>
          </w:placeholder>
        </w:sdtPr>
        <w:sdtContent>
          <w:r w:rsidR="00C96432" w:rsidRPr="00C96432">
            <w:rPr>
              <w:color w:val="000000"/>
            </w:rPr>
            <w:t>[8]</w:t>
          </w:r>
        </w:sdtContent>
      </w:sdt>
      <w:r w:rsidRPr="00AF4153">
        <w:t xml:space="preserve">. Nhóm </w:t>
      </w:r>
      <w:r w:rsidRPr="00AF4153">
        <w:lastRenderedPageBreak/>
        <w:t xml:space="preserve">thứ ba là các mô hình học sâu như LSTM và Transformer, cho phép học biểu diễn tự động từ dữ liệu thô, nhưng đòi hỏi lượng dữ liệu huấn luyện lớn để tránh quá khớp </w:t>
      </w:r>
      <w:sdt>
        <w:sdtPr>
          <w:rPr>
            <w:color w:val="000000"/>
          </w:rPr>
          <w:tag w:val="MENDELEY_CITATION_v3_eyJjaXRhdGlvbklEIjoiTUVOREVMRVlfQ0lUQVRJT05fOWJmNTVmZTEtZTk0YS00NDQ0LWFjOTItZjFkMmVlYzlhNzI5IiwicHJvcGVydGllcyI6eyJub3RlSW5kZXgiOjB9LCJpc0VkaXRlZCI6ZmFsc2UsIm1hbnVhbE92ZXJyaWRlIjp7ImlzTWFudWFsbHlPdmVycmlkZGVuIjpmYWxzZSwiY2l0ZXByb2NUZXh0IjoiWzldIiwibWFudWFsT3ZlcnJpZGVUZXh0IjoiIn0sImNpdGF0aW9uSXRlbXMiOlt7ImlkIjoiYTIxZTdiZDktOWE1Mi0zYWVhLWFiNDYtMTY4ZjA1M2YyYjk5IiwiaXRlbURhdGEiOnsidHlwZSI6ImFydGljbGUtam91cm5hbCIsImlkIjoiYTIxZTdiZDktOWE1Mi0zYWVhLWFiNDYtMTY4ZjA1M2YyYjk5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"/>
          <w:id w:val="-678122119"/>
          <w:placeholder>
            <w:docPart w:val="DefaultPlaceholder_-1854013440"/>
          </w:placeholder>
        </w:sdtPr>
        <w:sdtContent>
          <w:r w:rsidR="00C96432" w:rsidRPr="00C96432">
            <w:rPr>
              <w:color w:val="000000"/>
            </w:rPr>
            <w:t>[9]</w:t>
          </w:r>
        </w:sdtContent>
      </w:sdt>
      <w:r w:rsidRPr="00AF4153">
        <w:t>. Trên thị trường Việt Nam, với số lượng mã cổ phiếu có lịch sử đủ dài chỉ khoảng vài chục, việc huấn luyện một mô hình Transformer từ đầu cho từng mã là không khả thi.</w:t>
      </w:r>
    </w:p>
    <w:p w14:paraId="1FE468DE" w14:textId="4722C7FE" w:rsidR="00AF4153" w:rsidRDefault="00AF4153" w:rsidP="00AF4153">
      <w:r w:rsidRPr="00AF4153">
        <w:t>Sự ra đời của các mô hình nền tảng (Foundation Models) cho chuỗi thời gian đã mở ra một hướng tiếp cận mới. Thay vì huấn luyện từ đầu, các mô hình như Chronos và TimesFM  được tiền huấn luyện trên tập dữ liệu khổng lồ, cho phép chúng học được các biểu diễn tổng quát của hành vi chuỗi thời gian. Khi áp dụng cho một thị trường mới, chỉ cần một lượng nhỏ dữ liệu để fine</w:t>
      </w:r>
      <w:r w:rsidRPr="00AF4153">
        <w:noBreakHyphen/>
        <w:t>tune, mô hình có thể thích nghi với đặc thù địa phương mà vẫn giữ lại tri thức tổng quát đã học được. Cách tiếp cận này đặc biệt phù hợp với các thị trường có dữ liệu hạn chế như Việt Nam. Tuy nhiên, phần lớn các mô hình nền tảng hiện tại tập trung vào chuỗi thời gian dạng vô hướng, trong khi dữ liệu tài chính có cấu trúc đa chiều (OHLCV) với những phụ thuộc chéo phức tạp giữa các thành phần</w:t>
      </w:r>
      <w:r w:rsidR="00B65D29">
        <w:t>.</w:t>
      </w:r>
    </w:p>
    <w:p w14:paraId="0B25FC1A" w14:textId="1F48069A" w:rsidR="00B65D29" w:rsidRPr="00B65D29" w:rsidRDefault="00B65D29" w:rsidP="00B65D29">
      <w:pPr>
        <w:pStyle w:val="u2"/>
      </w:pPr>
      <w:r w:rsidRPr="00B65D29">
        <w:t>Kronos – Mô hình ngôn ngữ cho nến tài chính</w:t>
      </w:r>
    </w:p>
    <w:p w14:paraId="4B452A77" w14:textId="2BDF7698" w:rsidR="00B65D29" w:rsidRPr="00B65D29" w:rsidRDefault="00B65D29" w:rsidP="00B65D29">
      <w:r w:rsidRPr="00B65D29">
        <w:t xml:space="preserve">Kronos </w:t>
      </w:r>
      <w:sdt>
        <w:sdtPr>
          <w:rPr>
            <w:color w:val="000000"/>
          </w:rPr>
          <w:tag w:val="MENDELEY_CITATION_v3_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"/>
          <w:id w:val="-72051610"/>
          <w:placeholder>
            <w:docPart w:val="DefaultPlaceholder_-1854013440"/>
          </w:placeholder>
        </w:sdtPr>
        <w:sdtContent>
          <w:r w:rsidR="00C96432" w:rsidRPr="00C96432">
            <w:rPr>
              <w:color w:val="000000"/>
            </w:rPr>
            <w:t>[1]</w:t>
          </w:r>
        </w:sdtContent>
      </w:sdt>
      <w:r>
        <w:rPr>
          <w:color w:val="000000"/>
        </w:rPr>
        <w:t xml:space="preserve"> </w:t>
      </w:r>
      <w:r w:rsidRPr="00B65D29">
        <w:t xml:space="preserve">là một mô hình nền tảng được thiết kế riêng cho dữ liệu tài chính, giải quyết bài toán dự báo nến giá thông qua cách tiếp cận sinh ngôn ngữ. Điểm đột phá của Kronos nằm ở bộ mã hóa Binary Spherical Quantization (BSQ): thay vì xử lý trực tiếp các giá trị liên tục, mỗi nến OHLCVA (Open, High, Low, Close, Volume, Amount) được chiếu lên mặt cầu đơn vị bởi một Encoder Transformer, sau đó được cắt nhị phân để tạo ra mã 20 bit. Mã này được tách thành hai phần: S1 (10 bit, tương ứng 1024 token thô) mã hóa xu hướng chung của nến, và S2 (10 bit, 1024 token tinh) mã hóa biến động chi tiết </w:t>
      </w:r>
      <w:sdt>
        <w:sdtPr>
          <w:rPr>
            <w:color w:val="000000"/>
          </w:rPr>
          <w:tag w:val="MENDELEY_CITATION_v3_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"/>
          <w:id w:val="-1099721262"/>
          <w:placeholder>
            <w:docPart w:val="DefaultPlaceholder_-1854013440"/>
          </w:placeholder>
        </w:sdtPr>
        <w:sdtContent>
          <w:r w:rsidR="00C96432" w:rsidRPr="00C96432">
            <w:rPr>
              <w:color w:val="000000"/>
            </w:rPr>
            <w:t>[10]</w:t>
          </w:r>
        </w:sdtContent>
      </w:sdt>
      <w:r w:rsidRPr="00B65D29">
        <w:t>. Với cách biểu diễn này, dãy nến giá trở thành một chuỗi token rời rạc, cho phép áp dụng kiến trúc GPT Decoder tự hồi quy để sinh ra các token tiếp theo. Quá trình sinh dự báo được thực hiện tuần tự: mô hình sinh S1 trước, sau đó dựa vào S1 để sinh S2, cuối cùng giải mã ngược BSQ để thu được nến dự báo dạng liên tục [14].</w:t>
      </w:r>
    </w:p>
    <w:p w14:paraId="377AF9D6" w14:textId="75ED02E4" w:rsidR="00B65D29" w:rsidRPr="00B65D29" w:rsidRDefault="00B65D29" w:rsidP="00B65D29">
      <w:r w:rsidRPr="00B65D29">
        <w:t xml:space="preserve">Kronos được tiền huấn luyện trên hơn 12 tỷ nến từ 45 sàn giao dịch toàn cầu, bao gồm cổ phiếu, hợp đồng tương lai, ngoại hối và tiền mã hóa, trải dài trên nhiều tần suất từ 1 phút đến tuần </w:t>
      </w:r>
      <w:sdt>
        <w:sdtPr>
          <w:rPr>
            <w:color w:val="000000"/>
          </w:rPr>
          <w:tag w:val="MENDELEY_CITATION_v3_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"/>
          <w:id w:val="-1616129753"/>
          <w:placeholder>
            <w:docPart w:val="DefaultPlaceholder_-1854013440"/>
          </w:placeholder>
        </w:sdtPr>
        <w:sdtContent>
          <w:r w:rsidR="00C96432" w:rsidRPr="00C96432">
            <w:rPr>
              <w:color w:val="000000"/>
            </w:rPr>
            <w:t>[1]</w:t>
          </w:r>
        </w:sdtContent>
      </w:sdt>
      <w:r w:rsidRPr="00B65D29">
        <w:t>. Nhờ quy mô tiền huấn luyện này, Kronos đã chứng tỏ khả năng dự báo zero</w:t>
      </w:r>
      <w:r w:rsidRPr="00B65D29">
        <w:noBreakHyphen/>
        <w:t>shot cạnh tranh với nhiều mô hình chuyên biệt trên các thị trường phát triển.</w:t>
      </w:r>
    </w:p>
    <w:p w14:paraId="03CF6215" w14:textId="6F065319" w:rsidR="00B65D29" w:rsidRPr="00B65D29" w:rsidRDefault="00B65D29" w:rsidP="00B65D29">
      <w:pPr>
        <w:pStyle w:val="u2"/>
      </w:pPr>
      <w:r w:rsidRPr="00B65D29">
        <w:lastRenderedPageBreak/>
        <w:t>Khoảng cách phân phối và câu hỏi nghiên cứu</w:t>
      </w:r>
    </w:p>
    <w:p w14:paraId="45F28337" w14:textId="65A65B09" w:rsidR="00B65D29" w:rsidRPr="00B65D29" w:rsidRDefault="00B65D29" w:rsidP="00B65D29">
      <w:r w:rsidRPr="00B65D29">
        <w:t xml:space="preserve">Mặc dù sở hữu nền tảng tiền huấn luyện rộng lớn, Kronos vẫn đối mặt với thách thức đáng kể khi áp dụng cho thị trường Việt Nam do tồn tại khoảng cách phân phối (distribution gap) giữa dữ liệu tiền huấn luyện và dữ liệu mục tiêu. Dữ liệu tiền huấn luyện của Kronos chủ yếu đến từ các thị trường phát triển, nơi giá cổ phiếu dao động tự do, phân phối lợi suất có đuôi dày và tính thanh khoản đồng nhất trong phiên. Ngược lại, dữ liệu Việt Nam có phân phối lợi suất bị cắt cụt tại ngưỡng ±7% , cấu trúc tương quan OHLCV khác biệt do thời gian giao dịch ngắn và nghỉ trưa, cùng mẫu hình thanh khoản chịu ảnh hưởng của cơ chế T+2. </w:t>
      </w:r>
    </w:p>
    <w:p w14:paraId="03A0A8AE" w14:textId="77777777" w:rsidR="00B65D29" w:rsidRPr="00B65D29" w:rsidRDefault="00B65D29" w:rsidP="00B65D29">
      <w:r w:rsidRPr="00B65D29">
        <w:t>Khoảng cách phân phối này dẫn đến hai câu hỏi nghiên cứu trọng tâm. Thứ nhất, liệu quá trình fine</w:t>
      </w:r>
      <w:r w:rsidRPr="00B65D29">
        <w:noBreakHyphen/>
        <w:t>tune có kiểm soát bộ Tokenizer BSQ với tốc độ học thấp và số epoch hạn chế có đủ để mã hóa chính xác các nến giá Việt Nam hay không, đồng thời tránh được hiện tượng sụp đổ codebook khi chỉ có 50 chuỗi thời gian độc lập. Thứ hai, trong điều kiện dữ liệu hạn chế, liệu logic nghiệp vụ dựa trên phân phối mẫu dự báo ngẫu nhiên (stochastic sampling) có thể cung cấp thông tin xu hướng và rủi ro đủ tin cậy hay không, hay cần phải sửa đổi kiến trúc Kronos bằng cách thêm các đầu phân loại bổ sung.</w:t>
      </w:r>
    </w:p>
    <w:p w14:paraId="0BB928E2" w14:textId="77777777" w:rsidR="00B65D29" w:rsidRPr="00AF4153" w:rsidRDefault="00B65D29" w:rsidP="00AF4153"/>
    <w:p w14:paraId="0C5D8BF5" w14:textId="4EC042BA" w:rsidR="00AB3B45" w:rsidRDefault="00AB3B45">
      <w:pPr>
        <w:spacing w:line="276" w:lineRule="auto"/>
        <w:jc w:val="left"/>
      </w:pPr>
      <w:r>
        <w:br w:type="page"/>
      </w:r>
    </w:p>
    <w:p w14:paraId="40CCC7A4" w14:textId="37263556" w:rsidR="00AF4153" w:rsidRDefault="00AB3B45" w:rsidP="00AB3B45">
      <w:pPr>
        <w:pStyle w:val="u1"/>
      </w:pPr>
      <w:r>
        <w:lastRenderedPageBreak/>
        <w:t>CƠ SỞ LÝ THUYẾT VÀ PHƯƠNG PHÁP TRIỂN KHAI</w:t>
      </w:r>
    </w:p>
    <w:p w14:paraId="5175EA5D" w14:textId="433B65F1" w:rsidR="00AB3B45" w:rsidRDefault="00AB3B45" w:rsidP="00AB3B45">
      <w:pPr>
        <w:pStyle w:val="u2"/>
      </w:pPr>
      <w:r>
        <w:t>Cơ sở lý thuyết.</w:t>
      </w:r>
    </w:p>
    <w:p w14:paraId="40F63CA7" w14:textId="743ECD7D" w:rsidR="00AB3B45" w:rsidRDefault="00D52282" w:rsidP="00D52282">
      <w:pPr>
        <w:pStyle w:val="u3"/>
      </w:pPr>
      <w:r w:rsidRPr="00D52282">
        <w:t xml:space="preserve">Binary Spherical Quantization </w:t>
      </w:r>
      <w:r>
        <w:t>–</w:t>
      </w:r>
      <w:r w:rsidRPr="00D52282">
        <w:t xml:space="preserve"> BSQ</w:t>
      </w:r>
    </w:p>
    <w:p w14:paraId="19390E38" w14:textId="2A0CBC63" w:rsidR="00D52282" w:rsidRDefault="00D52282" w:rsidP="00D52282">
      <w:pPr>
        <w:pStyle w:val="Content"/>
      </w:pPr>
      <w:r w:rsidRPr="00D52282">
        <w:t>Đây là một kỹ thuật tiên tiến được phát triển nhằm kết hợp ưu điểm của việc chuẩn hóa hình học không gian ẩn và nén rời rạc không dùng ma trận nhúng tường minh (Lookup-Free).</w:t>
      </w:r>
      <w:r>
        <w:t xml:space="preserve"> Kỹ thuật này được tác giả giới thiệu bao ngồm lý thuyết chuẩn hóa Hình cầu (Spherical Normalization) và lý thuyết lượng hóa Nhị phân hình cầu (BSQ)</w:t>
      </w:r>
    </w:p>
    <w:p w14:paraId="3A233782" w14:textId="3D7B51CF" w:rsidR="00D52282" w:rsidRDefault="00D52282" w:rsidP="00D52282">
      <w:pPr>
        <w:pStyle w:val="Content"/>
      </w:pPr>
      <w:r>
        <w:t>a. Phép chiếu và Chuẩn hóa Hình cầu (Spherical Normalization)</w:t>
      </w:r>
    </w:p>
    <w:p w14:paraId="6A896FB8" w14:textId="7ABB3C9A" w:rsidR="00D52282" w:rsidRPr="00D52282" w:rsidRDefault="00D52282" w:rsidP="00D52282">
      <w:pPr>
        <w:pStyle w:val="Content"/>
      </w:pPr>
      <w:r w:rsidRPr="00D52282">
        <w:t>Trong xử lý chuỗi thời gian truyền thống, dữ liệu đầu vào thường được chuẩn hóa tuyến tính (như Min-Max hoặc Z-score). Tuy nhiên, đối với không gian ẩn ẩn (latent space) trước khi lượng hóa, BSQ áp dụng Chuẩn hóa hình cầu</w:t>
      </w:r>
      <w:r w:rsidRPr="00D52282">
        <w:rPr>
          <w:b/>
          <w:bCs/>
        </w:rP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D52282">
        <w:t xml:space="preserve">trực tiếp lên vector đặc trưng liên tục </w:t>
      </w:r>
      <m:oMath>
        <m:r>
          <w:rPr>
            <w:rFonts w:ascii="Cambria Math" w:hAnsi="Cambria Math"/>
          </w:rPr>
          <m:t>z∈</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D52282">
        <w:t>:</w:t>
      </w:r>
    </w:p>
    <w:p w14:paraId="3EB1D68B" w14:textId="15311226" w:rsidR="00D52282" w:rsidRPr="00EC7259" w:rsidRDefault="00000000" w:rsidP="00D52282">
      <w:pPr>
        <w:pStyle w:val="Content"/>
        <w:rPr>
          <w:rFonts w:eastAsiaTheme="minorEastAsia"/>
        </w:rPr>
      </w:pPr>
      <m:oMathPara>
        <m:oMath>
          <m:acc>
            <m:accPr>
              <m:chr m:val="˜"/>
              <m:ctrlPr>
                <w:rPr>
                  <w:rFonts w:ascii="Cambria Math" w:hAnsi="Cambria Math"/>
                </w:rPr>
              </m:ctrlPr>
            </m:accPr>
            <m:e>
              <m:r>
                <w:rPr>
                  <w:rFonts w:ascii="Cambria Math" w:hAnsi="Cambria Math"/>
                </w:rPr>
                <m:t>z</m:t>
              </m:r>
            </m:e>
          </m:acc>
          <m:r>
            <w:rPr>
              <w:rFonts w:ascii="Cambria Math" w:hAnsi="Cambria Math"/>
            </w:rPr>
            <m:t>=</m:t>
          </m:r>
          <m:r>
            <m:rPr>
              <m:nor/>
            </m:rPr>
            <m:t>F.normalize</m:t>
          </m:r>
          <m:d>
            <m:dPr>
              <m:ctrlPr>
                <w:rPr>
                  <w:rFonts w:ascii="Cambria Math" w:hAnsi="Cambria Math"/>
                </w:rPr>
              </m:ctrlPr>
            </m:dPr>
            <m:e>
              <m:r>
                <w:rPr>
                  <w:rFonts w:ascii="Cambria Math" w:hAnsi="Cambria Math"/>
                </w:rPr>
                <m:t>z,</m:t>
              </m:r>
              <m:r>
                <m:rPr>
                  <m:nor/>
                </m:rPr>
                <m:t>dim</m:t>
              </m:r>
              <m:r>
                <w:rPr>
                  <w:rFonts w:ascii="Cambria Math" w:hAnsi="Cambria Math"/>
                </w:rPr>
                <m:t>=-1</m:t>
              </m:r>
            </m:e>
          </m:d>
          <m:r>
            <w:rPr>
              <w:rFonts w:ascii="Cambria Math" w:hAnsi="Cambria Math"/>
            </w:rPr>
            <m:t>=</m:t>
          </m:r>
          <m:f>
            <m:fPr>
              <m:ctrlPr>
                <w:rPr>
                  <w:rFonts w:ascii="Cambria Math" w:hAnsi="Cambria Math"/>
                </w:rPr>
              </m:ctrlPr>
            </m:fPr>
            <m:num>
              <m:r>
                <w:rPr>
                  <w:rFonts w:ascii="Cambria Math" w:hAnsi="Cambria Math"/>
                </w:rPr>
                <m:t>z</m:t>
              </m:r>
            </m:num>
            <m:den>
              <m:sSub>
                <m:sSubPr>
                  <m:ctrlPr>
                    <w:rPr>
                      <w:rFonts w:ascii="Cambria Math" w:hAnsi="Cambria Math"/>
                    </w:rPr>
                  </m:ctrlPr>
                </m:sSubPr>
                <m:e>
                  <m:d>
                    <m:dPr>
                      <m:begChr m:val="‖"/>
                      <m:endChr m:val="‖"/>
                      <m:ctrlPr>
                        <w:rPr>
                          <w:rFonts w:ascii="Cambria Math" w:hAnsi="Cambria Math"/>
                        </w:rPr>
                      </m:ctrlPr>
                    </m:dPr>
                    <m:e>
                      <m:r>
                        <w:rPr>
                          <w:rFonts w:ascii="Cambria Math" w:hAnsi="Cambria Math"/>
                        </w:rPr>
                        <m:t>z</m:t>
                      </m:r>
                    </m:e>
                  </m:d>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z</m:t>
              </m:r>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d</m:t>
                      </m:r>
                    </m:sup>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2</m:t>
                          </m:r>
                        </m:sup>
                      </m:sSubSup>
                    </m:e>
                  </m:nary>
                </m:e>
              </m:rad>
            </m:den>
          </m:f>
        </m:oMath>
      </m:oMathPara>
    </w:p>
    <w:p w14:paraId="428B359F" w14:textId="1D01F5AA" w:rsidR="00EC7259" w:rsidRPr="00EC7259" w:rsidRDefault="00EC7259" w:rsidP="00EC7259">
      <w:pPr>
        <w:pStyle w:val="Content"/>
        <w:rPr>
          <w:rFonts w:eastAsiaTheme="minorEastAsia"/>
        </w:rPr>
      </w:pPr>
      <w:r>
        <w:rPr>
          <w:rFonts w:eastAsiaTheme="minorEastAsia"/>
        </w:rPr>
        <w:t xml:space="preserve">Phương pháp này giúp cho biến độ thô của các giá trị tài chính trở nên bất biến bằng cách </w:t>
      </w:r>
      <w:r w:rsidRPr="00EC7259">
        <w:rPr>
          <w:rFonts w:eastAsiaTheme="minorEastAsia"/>
        </w:rPr>
        <w:t xml:space="preserve">ép tất cả các vector đặc trưng ẩn về bề mặt của một siêu hình cầu đơn vị (Unit Hypersphere) </w:t>
      </w:r>
      <m:oMath>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d-1</m:t>
            </m:r>
          </m:sup>
        </m:sSup>
      </m:oMath>
      <w:r w:rsidRPr="00EC7259">
        <w:rPr>
          <w:rFonts w:eastAsiaTheme="minorEastAsia"/>
        </w:rPr>
        <w:t>. Hệ quả là mô hình loại bỏ hoàn toàn sự ảnh hưởng của biên độ tuyệt đối, chỉ tập trung giữ lại hướng biến động và mối tương quan hình thái cấu trúc (Open, High, Low, Close) của cây nến.</w:t>
      </w:r>
      <w:r>
        <w:rPr>
          <w:rFonts w:eastAsiaTheme="minorEastAsia"/>
        </w:rPr>
        <w:t xml:space="preserve"> </w:t>
      </w:r>
      <w:r w:rsidRPr="00EC7259">
        <w:rPr>
          <w:rFonts w:eastAsiaTheme="minorEastAsia"/>
        </w:rPr>
        <w:t>Giới hạn chuẩn của vector ẩn bằng 1 giúp ngăn chặn hiện tượng bùng nổ hoặc tiêu biến đặc trưng khi chuỗi dữ liệu thời gian đi qua nhiều tầng chú ý (Self-Attention) của Encoder.</w:t>
      </w:r>
    </w:p>
    <w:p w14:paraId="79210E64" w14:textId="523445CB" w:rsidR="00EC7259" w:rsidRDefault="00EC7259" w:rsidP="00D52282">
      <w:pPr>
        <w:pStyle w:val="Content"/>
        <w:rPr>
          <w:rFonts w:eastAsiaTheme="minorEastAsia"/>
        </w:rPr>
      </w:pPr>
      <w:r>
        <w:rPr>
          <w:rFonts w:eastAsiaTheme="minorEastAsia"/>
        </w:rPr>
        <w:t xml:space="preserve">b. </w:t>
      </w:r>
      <w:r w:rsidRPr="00EC7259">
        <w:rPr>
          <w:rFonts w:eastAsiaTheme="minorEastAsia"/>
        </w:rPr>
        <w:t>Lý thuyết Bảng mã Ẩn phi tham số (Implicit &amp; Non-parametric Codebook)</w:t>
      </w:r>
    </w:p>
    <w:p w14:paraId="6477C1C7" w14:textId="346EC95C" w:rsidR="00EC7259" w:rsidRDefault="00EC7259" w:rsidP="00EC7259">
      <w:pPr>
        <w:pStyle w:val="Content"/>
        <w:rPr>
          <w:rFonts w:ascii="Arial" w:hAnsi="Arial" w:cs="Arial"/>
          <w:noProof w:val="0"/>
          <w:sz w:val="24"/>
          <w:szCs w:val="24"/>
        </w:rPr>
      </w:pPr>
      <w:r w:rsidRPr="00EC7259">
        <w:t>Sau bước chuẩn hóa hình cầu, thay vì sử dụng một ma trận số thực tường minh để làm từ điển tra cứu (như cơ chế phân cụm K-Means của các mạng VQ-VAE truyền thống), BSQ thực hiện lượng hóa nhị phân bằng hàm dấu (</w:t>
      </w:r>
      <m:oMath>
        <m:r>
          <w:rPr>
            <w:rFonts w:ascii="Cambria Math" w:hAnsi="Cambria Math"/>
          </w:rPr>
          <m:t>sign</m:t>
        </m:r>
      </m:oMath>
      <w:r w:rsidRPr="00EC7259">
        <w:t>):</w:t>
      </w:r>
      <w:r w:rsidRPr="00EC7259">
        <w:rPr>
          <w:rFonts w:ascii="Arial" w:hAnsi="Arial" w:cs="Arial"/>
          <w:noProof w:val="0"/>
          <w:sz w:val="24"/>
          <w:szCs w:val="24"/>
        </w:rPr>
        <w:t xml:space="preserve"> </w:t>
      </w:r>
    </w:p>
    <w:p w14:paraId="5D3D2844" w14:textId="2F225097" w:rsidR="00EC7259" w:rsidRPr="00EC7259" w:rsidRDefault="00000000" w:rsidP="00EC7259">
      <w:pPr>
        <w:pStyle w:val="Content"/>
      </w:pPr>
      <m:oMathPara>
        <m:oMath>
          <m:acc>
            <m:accPr>
              <m:chr m:val="ˆ"/>
              <m:ctrlPr>
                <w:rPr>
                  <w:rFonts w:ascii="Cambria Math" w:hAnsi="Cambria Math"/>
                </w:rPr>
              </m:ctrlPr>
            </m:accPr>
            <m:e>
              <m:r>
                <w:rPr>
                  <w:rFonts w:ascii="Cambria Math" w:hAnsi="Cambria Math"/>
                </w:rPr>
                <m:t>z</m:t>
              </m:r>
            </m:e>
          </m:acc>
          <m:r>
            <w:rPr>
              <w:rFonts w:ascii="Cambria Math" w:hAnsi="Cambria Math"/>
            </w:rPr>
            <m:t>=</m:t>
          </m:r>
          <m:r>
            <m:rPr>
              <m:nor/>
            </m:rPr>
            <m:t>sign</m:t>
          </m:r>
          <m:d>
            <m:dPr>
              <m:ctrlPr>
                <w:rPr>
                  <w:rFonts w:ascii="Cambria Math" w:hAnsi="Cambria Math"/>
                </w:rPr>
              </m:ctrlPr>
            </m:dPr>
            <m:e>
              <m:acc>
                <m:accPr>
                  <m:chr m:val="˜"/>
                  <m:ctrlPr>
                    <w:rPr>
                      <w:rFonts w:ascii="Cambria Math" w:hAnsi="Cambria Math"/>
                    </w:rPr>
                  </m:ctrlPr>
                </m:accPr>
                <m:e>
                  <m:r>
                    <w:rPr>
                      <w:rFonts w:ascii="Cambria Math" w:hAnsi="Cambria Math"/>
                    </w:rPr>
                    <m:t>z</m:t>
                  </m:r>
                </m:e>
              </m:acc>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nếu </m:t>
                    </m:r>
                    <m:acc>
                      <m:accPr>
                        <m:chr m:val="˜"/>
                        <m:ctrlPr>
                          <w:rPr>
                            <w:rFonts w:ascii="Cambria Math" w:hAnsi="Cambria Math"/>
                          </w:rPr>
                        </m:ctrlPr>
                      </m:accPr>
                      <m:e>
                        <m:r>
                          <w:rPr>
                            <w:rFonts w:ascii="Cambria Math" w:hAnsi="Cambria Math"/>
                          </w:rPr>
                          <m:t>z</m:t>
                        </m:r>
                      </m:e>
                    </m:acc>
                    <m:r>
                      <w:rPr>
                        <w:rFonts w:ascii="Cambria Math" w:hAnsi="Cambria Math"/>
                      </w:rPr>
                      <m:t>&gt;0</m:t>
                    </m:r>
                  </m:e>
                </m:mr>
                <m:mr>
                  <m:e>
                    <m:r>
                      <w:rPr>
                        <w:rFonts w:ascii="Cambria Math" w:hAnsi="Cambria Math"/>
                      </w:rPr>
                      <m:t>-1</m:t>
                    </m:r>
                  </m:e>
                  <m:e>
                    <m:r>
                      <m:rPr>
                        <m:nor/>
                      </m:rPr>
                      <m:t>nếu </m:t>
                    </m:r>
                    <m:acc>
                      <m:accPr>
                        <m:chr m:val="˜"/>
                        <m:ctrlPr>
                          <w:rPr>
                            <w:rFonts w:ascii="Cambria Math" w:hAnsi="Cambria Math"/>
                          </w:rPr>
                        </m:ctrlPr>
                      </m:accPr>
                      <m:e>
                        <m:r>
                          <w:rPr>
                            <w:rFonts w:ascii="Cambria Math" w:hAnsi="Cambria Math"/>
                          </w:rPr>
                          <m:t>z</m:t>
                        </m:r>
                      </m:e>
                    </m:acc>
                    <m:r>
                      <w:rPr>
                        <w:rFonts w:ascii="Cambria Math" w:hAnsi="Cambria Math"/>
                      </w:rPr>
                      <m:t>≤0</m:t>
                    </m:r>
                  </m:e>
                </m:mr>
              </m:m>
            </m:e>
          </m:d>
          <m:r>
            <m:rPr>
              <m:sty m:val="p"/>
            </m:rPr>
            <w:br/>
          </m:r>
        </m:oMath>
      </m:oMathPara>
      <w:r w:rsidR="00EC7259" w:rsidRPr="00EC7259">
        <w:t>Để đảm bảo vector sau lượng hóa vẫn duy trì vị trí hình học nằm trên mặt siêu hình cầu đơn vị, giá trị được nhân với một hệ số tỷ lệ hình cầu q_scale nghịch đảo căn bậc hai của số chiều không gian d:</w:t>
      </w:r>
    </w:p>
    <w:p w14:paraId="14DE69C3" w14:textId="687D65D8" w:rsidR="00EC7259" w:rsidRDefault="00000000" w:rsidP="00EC7259">
      <w:pPr>
        <w:pStyle w:val="Content"/>
        <w:rPr>
          <w:rFonts w:eastAsiaTheme="minorEastAsia"/>
        </w:rPr>
      </w:pPr>
      <m:oMathPara>
        <m:oMath>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m:t>
          </m:r>
          <m:acc>
            <m:accPr>
              <m:chr m:val="ˆ"/>
              <m:ctrlPr>
                <w:rPr>
                  <w:rFonts w:ascii="Cambria Math" w:hAnsi="Cambria Math"/>
                </w:rPr>
              </m:ctrlPr>
            </m:accPr>
            <m:e>
              <m:r>
                <w:rPr>
                  <w:rFonts w:ascii="Cambria Math" w:hAnsi="Cambria Math"/>
                </w:rPr>
                <m:t>z</m:t>
              </m:r>
            </m:e>
          </m:acc>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d</m:t>
                  </m:r>
                </m:e>
              </m:rad>
            </m:den>
          </m:f>
          <m:r>
            <m:rPr>
              <m:sty m:val="p"/>
            </m:rPr>
            <w:br/>
          </m:r>
        </m:oMath>
      </m:oMathPara>
      <w:r w:rsidR="00EC7259" w:rsidRPr="00EC7259">
        <w:t xml:space="preserve">Chứng minh toán học: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q</m:t>
                    </m:r>
                  </m:sub>
                </m:sSub>
              </m:e>
            </m:d>
          </m:e>
          <m:sub>
            <m:r>
              <w:rPr>
                <w:rFonts w:ascii="Cambria Math" w:hAnsi="Cambria Math"/>
              </w:rPr>
              <m:t>2</m:t>
            </m:r>
          </m:sub>
        </m:sSub>
        <m: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d</m:t>
                </m:r>
              </m:sup>
              <m:e>
                <m:sSup>
                  <m:sSupPr>
                    <m:ctrlPr>
                      <w:rPr>
                        <w:rFonts w:ascii="Cambria Math" w:hAnsi="Cambria Math"/>
                      </w:rPr>
                    </m:ctrlPr>
                  </m:sSupPr>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d</m:t>
                                </m:r>
                              </m:e>
                            </m:rad>
                          </m:den>
                        </m:f>
                      </m:e>
                    </m:d>
                  </m:e>
                  <m:sup>
                    <m:r>
                      <w:rPr>
                        <w:rFonts w:ascii="Cambria Math" w:hAnsi="Cambria Math"/>
                      </w:rPr>
                      <m:t>2</m:t>
                    </m:r>
                  </m:sup>
                </m:sSup>
              </m:e>
            </m:nary>
          </m:e>
        </m:rad>
        <m:r>
          <w:rPr>
            <w:rFonts w:ascii="Cambria Math" w:hAnsi="Cambria Math"/>
          </w:rPr>
          <m:t>=</m:t>
        </m:r>
        <m:rad>
          <m:radPr>
            <m:degHide m:val="1"/>
            <m:ctrlPr>
              <w:rPr>
                <w:rFonts w:ascii="Cambria Math" w:hAnsi="Cambria Math"/>
              </w:rPr>
            </m:ctrlPr>
          </m:radPr>
          <m:deg/>
          <m:e>
            <m:r>
              <w:rPr>
                <w:rFonts w:ascii="Cambria Math" w:hAnsi="Cambria Math"/>
              </w:rPr>
              <m:t>d×</m:t>
            </m:r>
            <m:f>
              <m:fPr>
                <m:ctrlPr>
                  <w:rPr>
                    <w:rFonts w:ascii="Cambria Math" w:hAnsi="Cambria Math"/>
                  </w:rPr>
                </m:ctrlPr>
              </m:fPr>
              <m:num>
                <m:r>
                  <w:rPr>
                    <w:rFonts w:ascii="Cambria Math" w:hAnsi="Cambria Math"/>
                  </w:rPr>
                  <m:t>1</m:t>
                </m:r>
              </m:num>
              <m:den>
                <m:r>
                  <w:rPr>
                    <w:rFonts w:ascii="Cambria Math" w:hAnsi="Cambria Math"/>
                  </w:rPr>
                  <m:t>d</m:t>
                </m:r>
              </m:den>
            </m:f>
          </m:e>
        </m:rad>
        <m:r>
          <w:rPr>
            <w:rFonts w:ascii="Cambria Math" w:hAnsi="Cambria Math"/>
          </w:rPr>
          <m:t>=1</m:t>
        </m:r>
      </m:oMath>
    </w:p>
    <w:p w14:paraId="0F0DE460" w14:textId="035582EA" w:rsidR="00EC7259" w:rsidRDefault="00EC7259" w:rsidP="00EC7259">
      <w:pPr>
        <w:pStyle w:val="Content"/>
      </w:pPr>
      <w:r>
        <w:t>B</w:t>
      </w:r>
      <w:r w:rsidRPr="00EC7259">
        <w:t>ảng mã của BSQ hoàn toàn không chứa tham số huấn luyện (Non-parametric). Tập hợp các từ khóa (codewords) của nó được định nghĩa ngầm định (Implicit Codebook) chính là các đỉnh của một hình lập phương đa chiều (Hypercube Corners) cắt với siêu hình cầu đơn vị.</w:t>
      </w:r>
      <w:r>
        <w:t xml:space="preserve"> </w:t>
      </w:r>
      <w:r w:rsidRPr="00EC7259">
        <w:t xml:space="preserve">Nếu số chiều bit lượng hóa là d, mô hình tự động có khả năng biểu diễn tới </w:t>
      </w:r>
      <m:oMath>
        <m:sSup>
          <m:sSupPr>
            <m:ctrlPr>
              <w:rPr>
                <w:rFonts w:ascii="Cambria Math" w:hAnsi="Cambria Math"/>
              </w:rPr>
            </m:ctrlPr>
          </m:sSupPr>
          <m:e>
            <m:r>
              <w:rPr>
                <w:rFonts w:ascii="Cambria Math" w:hAnsi="Cambria Math"/>
              </w:rPr>
              <m:t>2</m:t>
            </m:r>
          </m:e>
          <m:sup>
            <m:r>
              <w:rPr>
                <w:rFonts w:ascii="Cambria Math" w:hAnsi="Cambria Math"/>
              </w:rPr>
              <m:t>d</m:t>
            </m:r>
          </m:sup>
        </m:sSup>
      </m:oMath>
      <w:r w:rsidRPr="00EC7259">
        <w:t>trạng thái nến khác nhau trong không gian rời rạc. Chi phí bộ nhớ lưu trữ ma trận nhúng lúc này bằng đúng 0, giải quyết triệt để bài toán bùng nổ tham số khi cần mở rộng kích thước từ vựng của nến.</w:t>
      </w:r>
    </w:p>
    <w:p w14:paraId="5C07AC38" w14:textId="592B7C52" w:rsidR="00380A36" w:rsidRDefault="00380A36" w:rsidP="00380A36">
      <w:pPr>
        <w:pStyle w:val="u3"/>
      </w:pPr>
      <w:r>
        <w:t>Mô hình Kronos</w:t>
      </w:r>
    </w:p>
    <w:p w14:paraId="375F6801" w14:textId="487C2073" w:rsidR="00380A36" w:rsidRDefault="00380A36" w:rsidP="00380A36">
      <w:pPr>
        <w:pStyle w:val="Content"/>
      </w:pPr>
      <w:r w:rsidRPr="00380A36">
        <w:t xml:space="preserve">Kronos là một họ mô hình nền tảng (Foundation Models) dạng </w:t>
      </w:r>
      <w:r w:rsidRPr="00380A36">
        <w:rPr>
          <w:i/>
          <w:iCs/>
        </w:rPr>
        <w:t>decoder-only</w:t>
      </w:r>
      <w:r w:rsidRPr="00380A36">
        <w:t>, được phát triển chuyên biệt cho "ngôn ngữ" của thị trường tài chính, cụ thể là chuỗi dữ liệu nến (K-line/Candlestick sequences).</w:t>
      </w:r>
    </w:p>
    <w:p w14:paraId="3240C34C" w14:textId="77777777" w:rsidR="00380A36" w:rsidRPr="00380A36" w:rsidRDefault="00380A36" w:rsidP="00380A36">
      <w:pPr>
        <w:pStyle w:val="Content"/>
      </w:pPr>
      <w:r w:rsidRPr="00380A36">
        <w:t>Khác với các mô hình dự báo chuỗi thời gian tổng quát (General-purpose Time Series Foundation Models - TSFMs) vốn khó xử lý độ nhiễu cao của thị trường tài chính, Kronos xử lý dữ liệu thông qua cấu trúc hai giai đoạn độc đáo:</w:t>
      </w:r>
    </w:p>
    <w:p w14:paraId="79910024" w14:textId="77777777" w:rsidR="00380A36" w:rsidRPr="00380A36" w:rsidRDefault="00380A36" w:rsidP="00380A36">
      <w:pPr>
        <w:pStyle w:val="Content"/>
        <w:numPr>
          <w:ilvl w:val="0"/>
          <w:numId w:val="14"/>
        </w:numPr>
      </w:pPr>
      <w:r w:rsidRPr="00380A36">
        <w:t>Tokenizer chuyên biệt (Specialized Tokenizer): Lượng hóa dữ liệu nến đa chiều, liên tục bao gồm Giá mở cửa, Giá cao nhất, Giá thấp nhất, Giá đóng cửa và Khối lượng (OHLCV) thành các token rời rạc có cấu trúc phân cấp (hierarchical discrete tokens).</w:t>
      </w:r>
    </w:p>
    <w:p w14:paraId="61BB9BF9" w14:textId="624372EB" w:rsidR="00380A36" w:rsidRDefault="00380A36" w:rsidP="00380A36">
      <w:pPr>
        <w:pStyle w:val="Content"/>
        <w:numPr>
          <w:ilvl w:val="0"/>
          <w:numId w:val="14"/>
        </w:numPr>
      </w:pPr>
      <w:r w:rsidRPr="00380A36">
        <w:t>Mô hình Transformer tự hồi quy (Autoregressive Transformer): Được tiền huấn luyện (pre-trained) trên các token này để phục vụ như một mô hình thống nhất cho nhiều tác vụ định lượng (quantitative tasks) khác nhau.</w:t>
      </w:r>
    </w:p>
    <w:p w14:paraId="0DE2F99A" w14:textId="77777777" w:rsidR="00BA66D2" w:rsidRDefault="00BA66D2" w:rsidP="00BA66D2">
      <w:pPr>
        <w:keepNext/>
      </w:pPr>
      <w:r w:rsidRPr="00BA66D2">
        <w:rPr>
          <w:rFonts w:eastAsiaTheme="minorHAnsi"/>
        </w:rPr>
        <w:lastRenderedPageBreak/>
        <w:drawing>
          <wp:inline distT="0" distB="0" distL="0" distR="0" wp14:anchorId="6E5A1561" wp14:editId="24693A8E">
            <wp:extent cx="5483402" cy="3058886"/>
            <wp:effectExtent l="0" t="0" r="3175" b="8255"/>
            <wp:docPr id="14213649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64970" name=""/>
                    <pic:cNvPicPr/>
                  </pic:nvPicPr>
                  <pic:blipFill>
                    <a:blip r:embed="rId7"/>
                    <a:stretch>
                      <a:fillRect/>
                    </a:stretch>
                  </pic:blipFill>
                  <pic:spPr>
                    <a:xfrm>
                      <a:off x="0" y="0"/>
                      <a:ext cx="5506237" cy="3071624"/>
                    </a:xfrm>
                    <a:prstGeom prst="rect">
                      <a:avLst/>
                    </a:prstGeom>
                  </pic:spPr>
                </pic:pic>
              </a:graphicData>
            </a:graphic>
          </wp:inline>
        </w:drawing>
      </w:r>
    </w:p>
    <w:p w14:paraId="231D7F84" w14:textId="21D19857" w:rsidR="00380A36" w:rsidRPr="00380A36" w:rsidRDefault="00BA66D2" w:rsidP="00BA66D2">
      <w:pPr>
        <w:pStyle w:val="Chuthich"/>
        <w:jc w:val="both"/>
      </w:pPr>
      <w:r>
        <w:t xml:space="preserve">Hình </w:t>
      </w:r>
      <w:r w:rsidR="00434700">
        <w:fldChar w:fldCharType="begin"/>
      </w:r>
      <w:r w:rsidR="00434700">
        <w:instrText xml:space="preserve"> STYLEREF 1 \s </w:instrText>
      </w:r>
      <w:r w:rsidR="00434700">
        <w:fldChar w:fldCharType="separate"/>
      </w:r>
      <w:r w:rsidR="00434700">
        <w:t>2</w:t>
      </w:r>
      <w:r w:rsidR="00434700">
        <w:fldChar w:fldCharType="end"/>
      </w:r>
      <w:r w:rsidR="00434700">
        <w:noBreakHyphen/>
      </w:r>
      <w:r w:rsidR="00434700">
        <w:fldChar w:fldCharType="begin"/>
      </w:r>
      <w:r w:rsidR="00434700">
        <w:instrText xml:space="preserve"> SEQ Hình \* ARABIC \s 1 </w:instrText>
      </w:r>
      <w:r w:rsidR="00434700">
        <w:fldChar w:fldCharType="separate"/>
      </w:r>
      <w:r w:rsidR="00434700">
        <w:t>1</w:t>
      </w:r>
      <w:r w:rsidR="00434700">
        <w:fldChar w:fldCharType="end"/>
      </w:r>
      <w:r>
        <w:t xml:space="preserve"> Kiến trúc của mô hình Kronos</w:t>
      </w:r>
    </w:p>
    <w:p w14:paraId="5900A9A6" w14:textId="77777777" w:rsidR="00380A36" w:rsidRPr="00380A36" w:rsidRDefault="00380A36" w:rsidP="00380A36">
      <w:pPr>
        <w:pStyle w:val="Content"/>
      </w:pPr>
    </w:p>
    <w:p w14:paraId="38511965" w14:textId="0D2D9C51" w:rsidR="00380A36" w:rsidRDefault="00BA66D2" w:rsidP="00380A36">
      <w:pPr>
        <w:pStyle w:val="Content"/>
      </w:pPr>
      <w:r>
        <w:t xml:space="preserve">a. </w:t>
      </w:r>
      <w:r w:rsidRPr="00BA66D2">
        <w:t>Kiến trúc chi tiết Giai đoạn 1: Bộ lượng hóa nến</w:t>
      </w:r>
      <w:r>
        <w:t xml:space="preserve"> – Kronos Tokenizer</w:t>
      </w:r>
    </w:p>
    <w:p w14:paraId="41F5ADC8" w14:textId="085BEF76" w:rsidR="00A60D0E" w:rsidRDefault="00A60D0E" w:rsidP="00380A36">
      <w:pPr>
        <w:pStyle w:val="Content"/>
      </w:pPr>
      <w:r w:rsidRPr="00A60D0E">
        <w:t>Bộ Tokenizer trong Kronos đảm nhận vai trò chuyển đổi qua lại giữa không gian nến giá liên tục (OHLCV) và không gian biểu diễn rời rạc, cho phép áp dụng các cơ chế của mô hình ngôn ngữ cho chuỗi thời gian tài chính</w:t>
      </w:r>
    </w:p>
    <w:p w14:paraId="33C1DBDF" w14:textId="77777777" w:rsidR="001445FA" w:rsidRDefault="001445FA" w:rsidP="001445FA">
      <w:pPr>
        <w:pStyle w:val="Content"/>
        <w:keepNext/>
      </w:pPr>
      <w:r w:rsidRPr="001445FA">
        <w:drawing>
          <wp:inline distT="0" distB="0" distL="0" distR="0" wp14:anchorId="4EF7CD4A" wp14:editId="501FF9DB">
            <wp:extent cx="5410200" cy="3048603"/>
            <wp:effectExtent l="0" t="0" r="0" b="0"/>
            <wp:docPr id="1537709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9745" name=""/>
                    <pic:cNvPicPr/>
                  </pic:nvPicPr>
                  <pic:blipFill>
                    <a:blip r:embed="rId8"/>
                    <a:stretch>
                      <a:fillRect/>
                    </a:stretch>
                  </pic:blipFill>
                  <pic:spPr>
                    <a:xfrm>
                      <a:off x="0" y="0"/>
                      <a:ext cx="5436092" cy="3063193"/>
                    </a:xfrm>
                    <a:prstGeom prst="rect">
                      <a:avLst/>
                    </a:prstGeom>
                  </pic:spPr>
                </pic:pic>
              </a:graphicData>
            </a:graphic>
          </wp:inline>
        </w:drawing>
      </w:r>
    </w:p>
    <w:p w14:paraId="78D1431B" w14:textId="3EF56F2A" w:rsidR="001445FA" w:rsidRDefault="001445FA" w:rsidP="001445FA">
      <w:pPr>
        <w:pStyle w:val="Chuthich"/>
        <w:jc w:val="both"/>
      </w:pPr>
      <w:r>
        <w:t xml:space="preserve">Hình </w:t>
      </w:r>
      <w:r w:rsidR="00434700">
        <w:fldChar w:fldCharType="begin"/>
      </w:r>
      <w:r w:rsidR="00434700">
        <w:instrText xml:space="preserve"> STYLEREF 1 \s </w:instrText>
      </w:r>
      <w:r w:rsidR="00434700">
        <w:fldChar w:fldCharType="separate"/>
      </w:r>
      <w:r w:rsidR="00434700">
        <w:t>2</w:t>
      </w:r>
      <w:r w:rsidR="00434700">
        <w:fldChar w:fldCharType="end"/>
      </w:r>
      <w:r w:rsidR="00434700">
        <w:noBreakHyphen/>
      </w:r>
      <w:r w:rsidR="00434700">
        <w:fldChar w:fldCharType="begin"/>
      </w:r>
      <w:r w:rsidR="00434700">
        <w:instrText xml:space="preserve"> SEQ Hình \* ARABIC \s 1 </w:instrText>
      </w:r>
      <w:r w:rsidR="00434700">
        <w:fldChar w:fldCharType="separate"/>
      </w:r>
      <w:r w:rsidR="00434700">
        <w:t>2</w:t>
      </w:r>
      <w:r w:rsidR="00434700">
        <w:fldChar w:fldCharType="end"/>
      </w:r>
      <w:r>
        <w:t xml:space="preserve"> Kiến trúc chi tiết của bộ tokenizer</w:t>
      </w:r>
    </w:p>
    <w:p w14:paraId="0FCD9AA8" w14:textId="776A54E0" w:rsidR="001445FA" w:rsidRPr="001445FA" w:rsidRDefault="001445FA" w:rsidP="001445FA">
      <w:pPr>
        <w:rPr>
          <w:rFonts w:eastAsiaTheme="minorHAnsi"/>
          <w:lang w:eastAsia="en-US"/>
        </w:rPr>
      </w:pPr>
      <w:r w:rsidRPr="001445FA">
        <w:rPr>
          <w:rFonts w:eastAsiaTheme="minorHAnsi"/>
          <w:lang w:eastAsia="en-US"/>
        </w:rPr>
        <w:lastRenderedPageBreak/>
        <w:t>Về mặt kiến trúc, vector đặc trưng của mỗi cây nến đầu vào được chiếu sang không gian ẩn d_model thông qua một lớp nhúng tuyến tính. Chuỗi vector ẩn này sau đó đi qua khối Encoder gồm nhiều tầng TransformerBlock xếp chồng, giúp trích xuất và tích hợp thông tin ngữ cảnh cục bộ giữa các cây nến lịch sử liền kề.</w:t>
      </w:r>
    </w:p>
    <w:p w14:paraId="3F47C172" w14:textId="20399295" w:rsidR="00EC7259" w:rsidRDefault="001445FA" w:rsidP="00EC7259">
      <w:pPr>
        <w:pStyle w:val="Content"/>
      </w:pPr>
      <w:r w:rsidRPr="001445FA">
        <w:t>Trung tâm của Tokenizer là lớp Lượng hóa Nhị phân Hình cầu (BSQuantizer). Tại đây, mỗi vector đặc trưng được chuẩn hóa lên mặt cầu đơn vị bằng phép F.normalize, rồi được chuyển thành chuỗi bit nhị phân thuộc tập {-1, 1} thông qua hàm dấu. Để lan truyền ngược qua bước rời rạc không khả vi này, thuật toán Straight-Through Estimator (STE) được áp dụng, xấp xỉ gradient qua hàm dấu như một ánh xạ đồng nhất.</w:t>
      </w:r>
    </w:p>
    <w:p w14:paraId="68BBF398" w14:textId="77777777" w:rsidR="001445FA" w:rsidRPr="001445FA" w:rsidRDefault="001445FA" w:rsidP="001445FA">
      <w:pPr>
        <w:rPr>
          <w:rFonts w:eastAsiaTheme="minorHAnsi"/>
          <w:lang w:eastAsia="en-US"/>
        </w:rPr>
      </w:pPr>
      <w:r w:rsidRPr="001445FA">
        <w:rPr>
          <w:rFonts w:eastAsiaTheme="minorHAnsi"/>
          <w:lang w:eastAsia="en-US"/>
        </w:rPr>
        <w:t>Kết quả lượng hóa là một chuỗi bit có độ dài cố định, được phân tách thành hai phần độc lập: các bit bậc cao tạo thành s1_bits (Pre Token hay Coarse Token), mã hóa cấu trúc vĩ mô và xu hướng chính của cây nến; các bit bậc thấp tạo thành s2_bits (Post Token hay Fine Token), bổ sung các chi tiết vi mô về biên độ dao động và thanh khoản.</w:t>
      </w:r>
    </w:p>
    <w:p w14:paraId="4525927E" w14:textId="70C5DC1D" w:rsidR="001445FA" w:rsidRDefault="001445FA" w:rsidP="001445FA">
      <w:pPr>
        <w:rPr>
          <w:rFonts w:eastAsiaTheme="minorHAnsi"/>
          <w:lang w:eastAsia="en-US"/>
        </w:rPr>
      </w:pPr>
      <w:r w:rsidRPr="001445FA">
        <w:rPr>
          <w:rFonts w:eastAsiaTheme="minorHAnsi"/>
          <w:lang w:eastAsia="en-US"/>
        </w:rPr>
        <w:t>Hai chuỗi bit phân cấp này sau đó được chuyển đổi thành các chỉ số nguyên s1_ids và s2_ids thông qua phép ánh xạ dựa trên lũy thừa cơ số 2, hình thành nên hai từ vựng rời rạc riêng biệt. Cách tổ chức phân cấp này cho phép Predictor dự báo token S1 trước để định hình xu hướng chung, rồi dựa trên đó dự báo token S2 để hoàn thiện chi tiết nến, phù hợp với bản chất đa thang đo của dữ liệu tài chính.</w:t>
      </w:r>
    </w:p>
    <w:p w14:paraId="2E009AA2" w14:textId="77777777" w:rsidR="001445FA" w:rsidRDefault="001445FA" w:rsidP="001445FA">
      <w:pPr>
        <w:pStyle w:val="Content"/>
      </w:pPr>
      <w:r w:rsidRPr="001445FA">
        <w:t>Nhằm ngăn chặn hiện tượng sụp đổ bảng mã (codebook collapse), tác giả tích hợp một hàm phạt entropy mềm vào quá trình tối ưu. Hàm tổn thất này khuyến khích mô hình sử dụng đồng đều không gian biểu diễn nhị phân, duy trì tính phân tán và sức chứa thông tin của toàn bộ codebook.</w:t>
      </w:r>
    </w:p>
    <w:p w14:paraId="68390ECB" w14:textId="77777777" w:rsidR="001445FA" w:rsidRPr="001445FA" w:rsidRDefault="00000000" w:rsidP="001445FA">
      <m:oMathPara>
        <m:oMath>
          <m:sSub>
            <m:sSubPr>
              <m:ctrlPr>
                <w:rPr>
                  <w:rFonts w:ascii="Cambria Math" w:hAnsi="Cambria Math"/>
                </w:rPr>
              </m:ctrlPr>
            </m:sSubPr>
            <m:e>
              <m:r>
                <w:rPr>
                  <w:rFonts w:ascii="Cambria Math" w:hAnsi="Cambria Math"/>
                </w:rPr>
                <m:t>L</m:t>
              </m:r>
            </m:e>
            <m:sub>
              <m:r>
                <m:rPr>
                  <m:nor/>
                </m:rPr>
                <m:t>tokenizer</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coarse</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fine</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L</m:t>
              </m:r>
            </m:e>
            <m:sub>
              <m:r>
                <m:rPr>
                  <m:nor/>
                </m:rPr>
                <m:t>quant</m:t>
              </m:r>
            </m:sub>
          </m:sSub>
        </m:oMath>
      </m:oMathPara>
    </w:p>
    <w:p w14:paraId="6FF968B2" w14:textId="77777777" w:rsidR="001445FA" w:rsidRPr="001445FA" w:rsidRDefault="00000000" w:rsidP="001445FA">
      <w:pPr>
        <w:pStyle w:val="Content"/>
        <w:numPr>
          <w:ilvl w:val="0"/>
          <w:numId w:val="15"/>
        </w:numPr>
      </w:pPr>
      <m:oMath>
        <m:sSub>
          <m:sSubPr>
            <m:ctrlPr>
              <w:rPr>
                <w:rFonts w:ascii="Cambria Math" w:hAnsi="Cambria Math"/>
              </w:rPr>
            </m:ctrlPr>
          </m:sSubPr>
          <m:e>
            <m:r>
              <w:rPr>
                <w:rFonts w:ascii="Cambria Math" w:hAnsi="Cambria Math"/>
              </w:rPr>
              <m:t>L</m:t>
            </m:r>
          </m:e>
          <m:sub>
            <m:r>
              <m:rPr>
                <m:nor/>
              </m:rPr>
              <w:rPr>
                <w:rFonts w:ascii="Cambria Math" w:hAnsi="Cambria Math"/>
              </w:rPr>
              <m:t>coarse</m:t>
            </m:r>
          </m:sub>
        </m:sSub>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E</m:t>
                        </m:r>
                      </m:e>
                      <m:sub>
                        <m:r>
                          <m:rPr>
                            <m:nor/>
                          </m:rPr>
                          <w:rPr>
                            <w:rFonts w:ascii="Cambria Math" w:hAnsi="Cambria Math"/>
                          </w:rPr>
                          <m:t>dec</m:t>
                        </m:r>
                      </m:sub>
                    </m:sSub>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c</m:t>
                            </m:r>
                          </m:sup>
                        </m:sSup>
                      </m:e>
                    </m:d>
                  </m:e>
                </m:d>
              </m:e>
              <m:sup>
                <m:r>
                  <w:rPr>
                    <w:rFonts w:ascii="Cambria Math" w:hAnsi="Cambria Math"/>
                  </w:rPr>
                  <m:t>2</m:t>
                </m:r>
              </m:sup>
            </m:sSup>
          </m:e>
        </m:d>
      </m:oMath>
      <w:r w:rsidR="001445FA" w:rsidRPr="001445FA">
        <w:t>: Mất mát tái tạo mức độ thấp, chỉ sử dụng subtoken thô (</w:t>
      </w:r>
      <m:oMath>
        <m:sSup>
          <m:sSupPr>
            <m:ctrlPr>
              <w:rPr>
                <w:rFonts w:ascii="Cambria Math" w:hAnsi="Cambria Math"/>
              </w:rPr>
            </m:ctrlPr>
          </m:sSupPr>
          <m:e>
            <m:r>
              <w:rPr>
                <w:rFonts w:ascii="Cambria Math" w:hAnsi="Cambria Math"/>
              </w:rPr>
              <m:t>b</m:t>
            </m:r>
          </m:e>
          <m:sup>
            <m:r>
              <w:rPr>
                <w:rFonts w:ascii="Cambria Math" w:hAnsi="Cambria Math"/>
              </w:rPr>
              <m:t>c</m:t>
            </m:r>
          </m:sup>
        </m:sSup>
      </m:oMath>
      <w:r w:rsidR="001445FA" w:rsidRPr="001445FA">
        <w:t>).</w:t>
      </w:r>
    </w:p>
    <w:p w14:paraId="4E326488" w14:textId="77777777" w:rsidR="001445FA" w:rsidRPr="001445FA" w:rsidRDefault="00000000" w:rsidP="001445FA">
      <w:pPr>
        <w:pStyle w:val="Content"/>
        <w:numPr>
          <w:ilvl w:val="0"/>
          <w:numId w:val="15"/>
        </w:numPr>
      </w:pPr>
      <m:oMath>
        <m:sSub>
          <m:sSubPr>
            <m:ctrlPr>
              <w:rPr>
                <w:rFonts w:ascii="Cambria Math" w:hAnsi="Cambria Math"/>
              </w:rPr>
            </m:ctrlPr>
          </m:sSubPr>
          <m:e>
            <m:r>
              <w:rPr>
                <w:rFonts w:ascii="Cambria Math" w:hAnsi="Cambria Math"/>
              </w:rPr>
              <m:t>L</m:t>
            </m:r>
          </m:e>
          <m:sub>
            <m:r>
              <m:rPr>
                <m:nor/>
              </m:rPr>
              <w:rPr>
                <w:rFonts w:ascii="Cambria Math" w:hAnsi="Cambria Math"/>
              </w:rPr>
              <m:t>fine</m:t>
            </m:r>
          </m:sub>
        </m:sSub>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E</m:t>
                        </m:r>
                      </m:e>
                      <m:sub>
                        <m:r>
                          <m:rPr>
                            <m:nor/>
                          </m:rPr>
                          <w:rPr>
                            <w:rFonts w:ascii="Cambria Math" w:hAnsi="Cambria Math"/>
                          </w:rPr>
                          <m:t>dec</m:t>
                        </m:r>
                      </m:sub>
                    </m:sSub>
                    <m:d>
                      <m:dPr>
                        <m:ctrlPr>
                          <w:rPr>
                            <w:rFonts w:ascii="Cambria Math" w:hAnsi="Cambria Math"/>
                          </w:rPr>
                        </m:ctrlPr>
                      </m:dPr>
                      <m:e>
                        <m:r>
                          <m:rPr>
                            <m:sty m:val="p"/>
                          </m:rPr>
                          <w:rPr>
                            <w:rFonts w:ascii="Cambria Math" w:hAnsi="Cambria Math"/>
                          </w:rPr>
                          <m:t>b</m:t>
                        </m:r>
                      </m:e>
                    </m:d>
                  </m:e>
                </m:d>
              </m:e>
              <m:sup>
                <m:r>
                  <w:rPr>
                    <w:rFonts w:ascii="Cambria Math" w:hAnsi="Cambria Math"/>
                  </w:rPr>
                  <m:t>2</m:t>
                </m:r>
              </m:sup>
            </m:sSup>
          </m:e>
        </m:d>
      </m:oMath>
      <w:r w:rsidR="001445FA" w:rsidRPr="001445FA">
        <w:t>: Mất mát tái tạo mức độ cao (độ trung thực cao), sử dụng toàn bộ token (bao gồm cả phần thô và chi tiết).</w:t>
      </w:r>
    </w:p>
    <w:p w14:paraId="7E479696" w14:textId="77777777" w:rsidR="001445FA" w:rsidRDefault="00000000" w:rsidP="001445FA">
      <w:pPr>
        <w:pStyle w:val="Content"/>
        <w:numPr>
          <w:ilvl w:val="0"/>
          <w:numId w:val="15"/>
        </w:numPr>
      </w:pPr>
      <m:oMath>
        <m:sSub>
          <m:sSubPr>
            <m:ctrlPr>
              <w:rPr>
                <w:rFonts w:ascii="Cambria Math" w:hAnsi="Cambria Math"/>
              </w:rPr>
            </m:ctrlPr>
          </m:sSubPr>
          <m:e>
            <m:r>
              <w:rPr>
                <w:rFonts w:ascii="Cambria Math" w:hAnsi="Cambria Math"/>
              </w:rPr>
              <m:t>L</m:t>
            </m:r>
          </m:e>
          <m:sub>
            <m:r>
              <m:rPr>
                <m:nor/>
              </m:rPr>
              <m:t>quant</m:t>
            </m:r>
          </m:sub>
        </m:sSub>
      </m:oMath>
      <w:r w:rsidR="001445FA" w:rsidRPr="001445FA">
        <w:t>: Hàm mất mát lượng tử hóa từ cơ chế Rời rạc hóa Cầu Nhị phân (Binary Spherical Quantization - BSQ), phạt khoảng cách L2 giữa vector liên tục và mã nhị phân của nó.</w:t>
      </w:r>
    </w:p>
    <w:p w14:paraId="1B68E8E3" w14:textId="77777777" w:rsidR="001445FA" w:rsidRDefault="001445FA" w:rsidP="001445FA">
      <w:r w:rsidRPr="001445FA">
        <w:t>Ép buộc cấu trúc phân cấp (Coarse-to-fine hierarchy): Bằng cách tối ưu hóa , mô hình buộc subtoken thô phải học được cấu trúc chính (principal structure) của dữ liệu. Sau đó, sẽ hướng dẫn subtoken chi tiết học các thông tin phần dư (residual information) để tinh chỉnh lại dự đoán cho chính xác nhất</w:t>
      </w:r>
      <w:r>
        <w:t>.</w:t>
      </w:r>
    </w:p>
    <w:p w14:paraId="6B79CDC6" w14:textId="77777777" w:rsidR="005D36D5" w:rsidRDefault="005D36D5" w:rsidP="005D36D5">
      <w:pPr>
        <w:rPr>
          <w:rFonts w:eastAsiaTheme="minorHAnsi"/>
          <w:lang w:eastAsia="en-US"/>
        </w:rPr>
      </w:pPr>
      <w:r w:rsidRPr="005D36D5">
        <w:rPr>
          <w:rFonts w:eastAsiaTheme="minorHAnsi"/>
          <w:lang w:eastAsia="en-US"/>
        </w:rPr>
        <w:t>Bộ Predictor đảm nhận vai trò cốt lõi trong quá trình sinh dự báo: từ chuỗi token lịch sử, nó tự hồi quy sinh ra token tiếp theo để tái tạo nến giá tương lai. Để thực hiện điều này, Predictor xử lý thông tin qua ba cụm chức năng chính.</w:t>
      </w:r>
    </w:p>
    <w:p w14:paraId="424030A3" w14:textId="214AD6D8" w:rsidR="005D36D5" w:rsidRPr="005D36D5" w:rsidRDefault="005D36D5" w:rsidP="005D36D5">
      <w:pPr>
        <w:pStyle w:val="u3"/>
        <w:rPr>
          <w:rFonts w:eastAsiaTheme="minorHAnsi"/>
        </w:rPr>
      </w:pPr>
      <w:r w:rsidRPr="005D36D5">
        <w:rPr>
          <w:rFonts w:eastAsiaTheme="minorHAnsi"/>
        </w:rPr>
        <w:t>Kiến trúc chi tiết Giai đoạn 2: Mô hình sinh tự hồi quy (Kronos)</w:t>
      </w:r>
    </w:p>
    <w:p w14:paraId="3AD821C3" w14:textId="77777777" w:rsidR="005D36D5" w:rsidRPr="005D36D5" w:rsidRDefault="005D36D5" w:rsidP="005D36D5">
      <w:pPr>
        <w:rPr>
          <w:rFonts w:eastAsiaTheme="minorHAnsi"/>
          <w:lang w:eastAsia="en-US"/>
        </w:rPr>
      </w:pPr>
      <w:r w:rsidRPr="005D36D5">
        <w:rPr>
          <w:rFonts w:eastAsiaTheme="minorHAnsi"/>
          <w:lang w:eastAsia="en-US"/>
        </w:rPr>
        <w:t>Cụm thứ nhất là cơ chế nhúng đầu vào, có nhiệm vụ chuyển đổi các ký hiệu rời rạc thành biểu diễn vector liên tục. Với mỗi cây nến lịch sử, hai token phân cấp S1 (xu hướng thô) và S2 (chi tiết tinh) được ánh xạ thành hai vector riêng biệt thông qua hai bảng tra cứu độc lập. Hai vector này sau đó được nối lại và hòa trộn qua một phép chiếu tuyến tính để tạo ra một biểu diễn thống nhất cho toàn bộ thông tin của cây nến. Bên cạnh thông tin giá, yếu tố thời gian cũng được tích hợp thông qua một bộ nhúng đa chiều, trích xuất đồng thời năm thuộc tính: phút, giờ, thứ, ngày và tháng. Vector thời gian này được cộng trực tiếp vào biểu diễn nến, cho phép mô hình nhận biết các hiệu ứng lịch và chu kỳ đặc trưng của thị trường tài chính.</w:t>
      </w:r>
    </w:p>
    <w:p w14:paraId="109400FF" w14:textId="77777777" w:rsidR="005D36D5" w:rsidRPr="005D36D5" w:rsidRDefault="005D36D5" w:rsidP="005D36D5">
      <w:pPr>
        <w:rPr>
          <w:rFonts w:eastAsiaTheme="minorHAnsi"/>
          <w:lang w:eastAsia="en-US"/>
        </w:rPr>
      </w:pPr>
      <w:r w:rsidRPr="005D36D5">
        <w:rPr>
          <w:rFonts w:eastAsiaTheme="minorHAnsi"/>
          <w:lang w:eastAsia="en-US"/>
        </w:rPr>
        <w:t>Cụm thứ hai là khối Transformer trung tâm, nơi diễn ra quá trình xử lý ngữ cảnh. Khối này áp dụng một số cải tiến so với kiến trúc Transformer nguyên bản nhằm thích nghi với dữ liệu chuỗi thời gian. Phép chuẩn hóa RMSNorm được dùng để ổn định quá trình huấn luyện và tăng tốc hội tụ. Cơ chế chú ý được tăng cường bởi phép nhúng vị trí quay (Rotary Positional Embedding), cho phép mô hình biểu diễn khoảng cách thời gian giữa các vị trí một cách liên tục, thay vì rời rạc, từ đó nắm bắt tốt hơn các phụ thuộc xa trong chuỗi dài. Tầng truyền xuôi phi tuyến sử dụng cơ chế kích hoạt có cổng (SwiGLU), kết hợp phép nhân giữa hai nhánh biến đổi để mở rộng khả năng biểu diễn của mạng.</w:t>
      </w:r>
    </w:p>
    <w:p w14:paraId="18F6F13C" w14:textId="77777777" w:rsidR="005D36D5" w:rsidRPr="005D36D5" w:rsidRDefault="005D36D5" w:rsidP="005D36D5">
      <w:pPr>
        <w:rPr>
          <w:rFonts w:eastAsiaTheme="minorHAnsi"/>
          <w:lang w:eastAsia="en-US"/>
        </w:rPr>
      </w:pPr>
      <w:r w:rsidRPr="005D36D5">
        <w:rPr>
          <w:rFonts w:eastAsiaTheme="minorHAnsi"/>
          <w:lang w:eastAsia="en-US"/>
        </w:rPr>
        <w:lastRenderedPageBreak/>
        <w:t>Cụm thứ ba và cũng là điểm đặc trưng của Kronos là cơ chế giải mã phụ thuộc hai đầu. Thay vì dự báo toàn bộ nến như một thực thể đơn nhất, quá trình sinh được tách thành hai bước nhân quả. Bước thứ nhất, biểu diễn ngữ cảnh tích lũy từ toàn bộ chuỗi lịch sử được sử dụng để dự báo token S1, tức mã xu hướng tổng quát của nến kế tiếp. Bước thứ hai, token S1 vừa được chọn đóng vai trò như một điều kiện định hướng: nó được đối chiếu với toàn bộ trạng thái ngữ cảnh thông qua một cơ chế tập trung chéo (cross</w:t>
      </w:r>
      <w:r w:rsidRPr="005D36D5">
        <w:rPr>
          <w:rFonts w:eastAsiaTheme="minorHAnsi"/>
          <w:lang w:eastAsia="en-US"/>
        </w:rPr>
        <w:noBreakHyphen/>
        <w:t>attention) chuyên biệt. Cơ chế này cho phép mô hình trích xuất những chi tiết vi mô phù hợp với xu hướng đã định, từ đó sinh ra token S2 để hoàn thiện bức tranh nến.</w:t>
      </w:r>
    </w:p>
    <w:p w14:paraId="54913FEC" w14:textId="77777777" w:rsidR="005D36D5" w:rsidRDefault="005D36D5" w:rsidP="005D36D5">
      <w:pPr>
        <w:rPr>
          <w:rFonts w:eastAsiaTheme="minorHAnsi"/>
          <w:lang w:eastAsia="en-US"/>
        </w:rPr>
      </w:pPr>
      <w:r w:rsidRPr="005D36D5">
        <w:rPr>
          <w:rFonts w:eastAsiaTheme="minorHAnsi"/>
          <w:lang w:eastAsia="en-US"/>
        </w:rPr>
        <w:t>Thiết kế hai bước phụ thuộc này phản ánh một trực giác tài chính quan trọng: xu hướng chung của thị trường cần được xác định trước, bởi ý nghĩa của các chi tiết như biên độ dao động hay khối lượng giao dịch sẽ thay đổi tùy theo xu hướng đó. Việc phân tách rõ ràng hai tầng dự báo không chỉ cải thiện chất lượng sinh mà còn tăng cường khả năng diễn giải: token S1 có thể được đọc như một mã biểu diễn trạng thái thị trường, còn S2 bổ sung các sắc thái định lượng cụ thể.</w:t>
      </w:r>
    </w:p>
    <w:p w14:paraId="148C38B5" w14:textId="77777777" w:rsidR="005D36D5" w:rsidRPr="005D36D5" w:rsidRDefault="005D36D5" w:rsidP="005D36D5">
      <w:pPr>
        <w:rPr>
          <w:rFonts w:eastAsiaTheme="minorHAnsi"/>
          <w:lang w:eastAsia="en-US"/>
        </w:rPr>
      </w:pPr>
      <w:r w:rsidRPr="005D36D5">
        <w:rPr>
          <w:rFonts w:eastAsiaTheme="minorHAnsi"/>
          <w:lang w:eastAsia="en-US"/>
        </w:rPr>
        <w:t>Hàm Loss Function</w:t>
      </w:r>
      <w:r w:rsidRPr="005D36D5">
        <w:rPr>
          <w:rFonts w:eastAsiaTheme="minorHAnsi"/>
          <w:b/>
          <w:bCs/>
          <w:lang w:eastAsia="en-US"/>
        </w:rPr>
        <w:t>:</w:t>
      </w:r>
      <w:r w:rsidRPr="005D36D5">
        <w:rPr>
          <w:rFonts w:eastAsiaTheme="minorHAnsi"/>
          <w:lang w:eastAsia="en-US"/>
        </w:rPr>
        <w:t xml:space="preserve"> Mô hình sử dụng hàm Negative Log-Likelihood (NLL) trong không gian rời rạc (thực chất là hàm Cross-Entropy) để tối đa hóa xác suất dự đoán chuỗi token. Hàm loss phân rã sự phụ thuộc theo thứ tự từ thô đến chi tiết:</w:t>
      </w:r>
    </w:p>
    <w:p w14:paraId="30769C03" w14:textId="77777777" w:rsidR="005D36D5" w:rsidRPr="005D36D5" w:rsidRDefault="00000000" w:rsidP="005D36D5">
      <w:pPr>
        <w:rPr>
          <w:rFonts w:eastAsiaTheme="minorEastAsia"/>
        </w:rPr>
      </w:pPr>
      <m:oMathPara>
        <m:oMath>
          <m:sSub>
            <m:sSubPr>
              <m:ctrlPr>
                <w:rPr>
                  <w:rFonts w:ascii="Cambria Math" w:eastAsiaTheme="minorHAnsi" w:hAnsi="Cambria Math"/>
                </w:rPr>
              </m:ctrlPr>
            </m:sSubPr>
            <m:e>
              <m:r>
                <w:rPr>
                  <w:rFonts w:ascii="Cambria Math" w:eastAsiaTheme="minorHAnsi" w:hAnsi="Cambria Math"/>
                </w:rPr>
                <m:t>L</m:t>
              </m:r>
            </m:e>
            <m:sub>
              <m:r>
                <m:rPr>
                  <m:nor/>
                </m:rPr>
                <w:rPr>
                  <w:rFonts w:eastAsiaTheme="minorHAnsi"/>
                </w:rPr>
                <m:t>ar</m:t>
              </m:r>
            </m:sub>
          </m:sSub>
          <m:r>
            <w:rPr>
              <w:rFonts w:ascii="Cambria Math" w:eastAsiaTheme="minorHAnsi" w:hAnsi="Cambria Math"/>
            </w:rPr>
            <m:t>=-</m:t>
          </m:r>
          <m:sSub>
            <m:sSubPr>
              <m:ctrlPr>
                <w:rPr>
                  <w:rFonts w:ascii="Cambria Math" w:eastAsiaTheme="minorHAnsi" w:hAnsi="Cambria Math"/>
                </w:rPr>
              </m:ctrlPr>
            </m:sSubPr>
            <m:e>
              <m:r>
                <m:rPr>
                  <m:scr m:val="double-struck"/>
                  <m:sty m:val="p"/>
                </m:rPr>
                <w:rPr>
                  <w:rFonts w:ascii="Cambria Math" w:eastAsiaTheme="minorHAnsi" w:hAnsi="Cambria Math"/>
                </w:rPr>
                <m:t>E</m:t>
              </m:r>
            </m:e>
            <m:sub>
              <m:r>
                <w:rPr>
                  <w:rFonts w:ascii="Cambria Math" w:eastAsiaTheme="minorHAnsi" w:hAnsi="Cambria Math"/>
                </w:rPr>
                <m:t>b∼</m:t>
              </m:r>
              <m:r>
                <m:rPr>
                  <m:scr m:val="script"/>
                  <m:sty m:val="p"/>
                </m:rPr>
                <w:rPr>
                  <w:rFonts w:ascii="Cambria Math" w:eastAsiaTheme="minorHAnsi" w:hAnsi="Cambria Math"/>
                </w:rPr>
                <m:t>D</m:t>
              </m:r>
            </m:sub>
          </m:sSub>
          <m:nary>
            <m:naryPr>
              <m:chr m:val="∑"/>
              <m:limLoc m:val="undOvr"/>
              <m:ctrlPr>
                <w:rPr>
                  <w:rFonts w:ascii="Cambria Math" w:eastAsiaTheme="minorHAnsi" w:hAnsi="Cambria Math"/>
                </w:rPr>
              </m:ctrlPr>
            </m:naryPr>
            <m:sub>
              <m:r>
                <w:rPr>
                  <w:rFonts w:ascii="Cambria Math" w:eastAsiaTheme="minorHAnsi" w:hAnsi="Cambria Math"/>
                </w:rPr>
                <m:t>t=1</m:t>
              </m:r>
            </m:sub>
            <m:sup>
              <m:r>
                <w:rPr>
                  <w:rFonts w:ascii="Cambria Math" w:eastAsiaTheme="minorHAnsi" w:hAnsi="Cambria Math"/>
                </w:rPr>
                <m:t>T</m:t>
              </m:r>
            </m:sup>
            <m:e>
              <m:d>
                <m:dPr>
                  <m:begChr m:val="["/>
                  <m:endChr m:val="]"/>
                  <m:ctrlPr>
                    <w:rPr>
                      <w:rFonts w:ascii="Cambria Math" w:eastAsiaTheme="minorHAnsi" w:hAnsi="Cambria Math"/>
                    </w:rPr>
                  </m:ctrlPr>
                </m:dPr>
                <m:e>
                  <m:func>
                    <m:funcPr>
                      <m:ctrlPr>
                        <w:rPr>
                          <w:rFonts w:ascii="Cambria Math" w:eastAsiaTheme="minorHAnsi" w:hAnsi="Cambria Math"/>
                        </w:rPr>
                      </m:ctrlPr>
                    </m:funcPr>
                    <m:fName>
                      <m:r>
                        <m:rPr>
                          <m:sty m:val="p"/>
                        </m:rPr>
                        <w:rPr>
                          <w:rFonts w:ascii="Cambria Math" w:eastAsiaTheme="minorHAnsi" w:hAnsi="Cambria Math"/>
                        </w:rPr>
                        <m:t>log</m:t>
                      </m:r>
                    </m:fName>
                    <m:e>
                      <m:r>
                        <w:rPr>
                          <w:rFonts w:ascii="Cambria Math" w:eastAsiaTheme="minorHAnsi" w:hAnsi="Cambria Math"/>
                        </w:rPr>
                        <m:t>p</m:t>
                      </m:r>
                    </m:e>
                  </m:func>
                  <m:d>
                    <m:dPr>
                      <m:ctrlPr>
                        <w:rPr>
                          <w:rFonts w:ascii="Cambria Math" w:eastAsiaTheme="minorHAnsi" w:hAnsi="Cambria Math"/>
                        </w:rPr>
                      </m:ctrlPr>
                    </m:dPr>
                    <m:e>
                      <m:sSubSup>
                        <m:sSubSupPr>
                          <m:ctrlPr>
                            <w:rPr>
                              <w:rFonts w:ascii="Cambria Math" w:eastAsiaTheme="minorHAnsi" w:hAnsi="Cambria Math"/>
                            </w:rPr>
                          </m:ctrlPr>
                        </m:sSubSupPr>
                        <m:e>
                          <m:r>
                            <w:rPr>
                              <w:rFonts w:ascii="Cambria Math" w:eastAsiaTheme="minorHAnsi" w:hAnsi="Cambria Math"/>
                            </w:rPr>
                            <m:t>b</m:t>
                          </m:r>
                        </m:e>
                        <m:sub>
                          <m:r>
                            <w:rPr>
                              <w:rFonts w:ascii="Cambria Math" w:eastAsiaTheme="minorHAnsi" w:hAnsi="Cambria Math"/>
                            </w:rPr>
                            <m:t>t</m:t>
                          </m:r>
                        </m:sub>
                        <m:sup>
                          <m:r>
                            <w:rPr>
                              <w:rFonts w:ascii="Cambria Math" w:eastAsiaTheme="minorHAnsi" w:hAnsi="Cambria Math"/>
                            </w:rPr>
                            <m:t>c</m:t>
                          </m:r>
                        </m:sup>
                      </m:sSubSup>
                      <m:r>
                        <w:rPr>
                          <w:rFonts w:ascii="Cambria Math" w:eastAsiaTheme="minorHAnsi" w:hAnsi="Cambria Math"/>
                        </w:rPr>
                        <m:t>∣</m:t>
                      </m:r>
                      <m:sSub>
                        <m:sSubPr>
                          <m:ctrlPr>
                            <w:rPr>
                              <w:rFonts w:ascii="Cambria Math" w:eastAsiaTheme="minorHAnsi" w:hAnsi="Cambria Math"/>
                            </w:rPr>
                          </m:ctrlPr>
                        </m:sSubPr>
                        <m:e>
                          <m:r>
                            <w:rPr>
                              <w:rFonts w:ascii="Cambria Math" w:eastAsiaTheme="minorHAnsi" w:hAnsi="Cambria Math"/>
                            </w:rPr>
                            <m:t>b</m:t>
                          </m:r>
                        </m:e>
                        <m:sub>
                          <m:r>
                            <w:rPr>
                              <w:rFonts w:ascii="Cambria Math" w:eastAsiaTheme="minorHAnsi" w:hAnsi="Cambria Math"/>
                            </w:rPr>
                            <m:t>&lt;t</m:t>
                          </m:r>
                        </m:sub>
                      </m:sSub>
                    </m:e>
                  </m:d>
                  <m:r>
                    <w:rPr>
                      <w:rFonts w:ascii="Cambria Math" w:eastAsiaTheme="minorHAnsi" w:hAnsi="Cambria Math"/>
                    </w:rPr>
                    <m:t>+</m:t>
                  </m:r>
                  <m:func>
                    <m:funcPr>
                      <m:ctrlPr>
                        <w:rPr>
                          <w:rFonts w:ascii="Cambria Math" w:eastAsiaTheme="minorHAnsi" w:hAnsi="Cambria Math"/>
                        </w:rPr>
                      </m:ctrlPr>
                    </m:funcPr>
                    <m:fName>
                      <m:r>
                        <m:rPr>
                          <m:sty m:val="p"/>
                        </m:rPr>
                        <w:rPr>
                          <w:rFonts w:ascii="Cambria Math" w:eastAsiaTheme="minorHAnsi" w:hAnsi="Cambria Math"/>
                        </w:rPr>
                        <m:t>log</m:t>
                      </m:r>
                    </m:fName>
                    <m:e>
                      <m:r>
                        <w:rPr>
                          <w:rFonts w:ascii="Cambria Math" w:eastAsiaTheme="minorHAnsi" w:hAnsi="Cambria Math"/>
                        </w:rPr>
                        <m:t>p</m:t>
                      </m:r>
                    </m:e>
                  </m:func>
                  <m:d>
                    <m:dPr>
                      <m:ctrlPr>
                        <w:rPr>
                          <w:rFonts w:ascii="Cambria Math" w:eastAsiaTheme="minorHAnsi" w:hAnsi="Cambria Math"/>
                        </w:rPr>
                      </m:ctrlPr>
                    </m:dPr>
                    <m:e>
                      <m:sSubSup>
                        <m:sSubSupPr>
                          <m:ctrlPr>
                            <w:rPr>
                              <w:rFonts w:ascii="Cambria Math" w:eastAsiaTheme="minorHAnsi" w:hAnsi="Cambria Math"/>
                            </w:rPr>
                          </m:ctrlPr>
                        </m:sSubSupPr>
                        <m:e>
                          <m:r>
                            <w:rPr>
                              <w:rFonts w:ascii="Cambria Math" w:eastAsiaTheme="minorHAnsi" w:hAnsi="Cambria Math"/>
                            </w:rPr>
                            <m:t>b</m:t>
                          </m:r>
                        </m:e>
                        <m:sub>
                          <m:r>
                            <w:rPr>
                              <w:rFonts w:ascii="Cambria Math" w:eastAsiaTheme="minorHAnsi" w:hAnsi="Cambria Math"/>
                            </w:rPr>
                            <m:t>t</m:t>
                          </m:r>
                        </m:sub>
                        <m:sup>
                          <m:r>
                            <w:rPr>
                              <w:rFonts w:ascii="Cambria Math" w:eastAsiaTheme="minorHAnsi" w:hAnsi="Cambria Math"/>
                            </w:rPr>
                            <m:t>f</m:t>
                          </m:r>
                        </m:sup>
                      </m:sSubSup>
                      <m:r>
                        <w:rPr>
                          <w:rFonts w:ascii="Cambria Math" w:eastAsiaTheme="minorHAnsi" w:hAnsi="Cambria Math"/>
                        </w:rPr>
                        <m:t>∣</m:t>
                      </m:r>
                      <m:sSub>
                        <m:sSubPr>
                          <m:ctrlPr>
                            <w:rPr>
                              <w:rFonts w:ascii="Cambria Math" w:eastAsiaTheme="minorHAnsi" w:hAnsi="Cambria Math"/>
                            </w:rPr>
                          </m:ctrlPr>
                        </m:sSubPr>
                        <m:e>
                          <m:r>
                            <w:rPr>
                              <w:rFonts w:ascii="Cambria Math" w:eastAsiaTheme="minorHAnsi" w:hAnsi="Cambria Math"/>
                            </w:rPr>
                            <m:t>b</m:t>
                          </m:r>
                        </m:e>
                        <m:sub>
                          <m:r>
                            <w:rPr>
                              <w:rFonts w:ascii="Cambria Math" w:eastAsiaTheme="minorHAnsi" w:hAnsi="Cambria Math"/>
                            </w:rPr>
                            <m:t>&lt;t</m:t>
                          </m:r>
                        </m:sub>
                      </m:sSub>
                      <m:r>
                        <w:rPr>
                          <w:rFonts w:ascii="Cambria Math" w:eastAsiaTheme="minorHAnsi" w:hAnsi="Cambria Math"/>
                        </w:rPr>
                        <m:t>,</m:t>
                      </m:r>
                      <m:sSubSup>
                        <m:sSubSupPr>
                          <m:ctrlPr>
                            <w:rPr>
                              <w:rFonts w:ascii="Cambria Math" w:eastAsiaTheme="minorHAnsi" w:hAnsi="Cambria Math"/>
                            </w:rPr>
                          </m:ctrlPr>
                        </m:sSubSupPr>
                        <m:e>
                          <m:r>
                            <w:rPr>
                              <w:rFonts w:ascii="Cambria Math" w:eastAsiaTheme="minorHAnsi" w:hAnsi="Cambria Math"/>
                            </w:rPr>
                            <m:t>b</m:t>
                          </m:r>
                        </m:e>
                        <m:sub>
                          <m:r>
                            <w:rPr>
                              <w:rFonts w:ascii="Cambria Math" w:eastAsiaTheme="minorHAnsi" w:hAnsi="Cambria Math"/>
                            </w:rPr>
                            <m:t>t</m:t>
                          </m:r>
                        </m:sub>
                        <m:sup>
                          <m:r>
                            <w:rPr>
                              <w:rFonts w:ascii="Cambria Math" w:eastAsiaTheme="minorHAnsi" w:hAnsi="Cambria Math"/>
                            </w:rPr>
                            <m:t>c</m:t>
                          </m:r>
                        </m:sup>
                      </m:sSubSup>
                    </m:e>
                  </m:d>
                </m:e>
              </m:d>
            </m:e>
          </m:nary>
        </m:oMath>
      </m:oMathPara>
    </w:p>
    <w:p w14:paraId="53FE4932" w14:textId="67833AE0" w:rsidR="005D36D5" w:rsidRPr="005D36D5" w:rsidRDefault="005D36D5" w:rsidP="005D36D5">
      <w:pPr>
        <w:rPr>
          <w:rFonts w:eastAsiaTheme="minorEastAsia"/>
          <w:lang w:eastAsia="en-US"/>
        </w:rPr>
      </w:pPr>
      <w:r w:rsidRPr="005D36D5">
        <w:rPr>
          <w:rFonts w:eastAsiaTheme="minorHAnsi"/>
          <w:lang w:eastAsia="en-US"/>
        </w:rPr>
        <w:t>Trong đó:</w:t>
      </w:r>
    </w:p>
    <w:p w14:paraId="5D4AE911" w14:textId="4FA1519D" w:rsidR="005D36D5" w:rsidRPr="005D36D5" w:rsidRDefault="00000000" w:rsidP="005D36D5">
      <w:pPr>
        <w:numPr>
          <w:ilvl w:val="0"/>
          <w:numId w:val="16"/>
        </w:numPr>
        <w:rPr>
          <w:rFonts w:eastAsiaTheme="minorHAnsi"/>
          <w:lang w:eastAsia="en-US"/>
        </w:rPr>
      </w:pPr>
      <m:oMath>
        <m:func>
          <m:funcPr>
            <m:ctrlPr>
              <w:rPr>
                <w:rFonts w:ascii="Cambria Math" w:eastAsiaTheme="minorHAnsi" w:hAnsi="Cambria Math"/>
              </w:rPr>
            </m:ctrlPr>
          </m:funcPr>
          <m:fName>
            <m:r>
              <m:rPr>
                <m:sty m:val="p"/>
              </m:rPr>
              <w:rPr>
                <w:rFonts w:ascii="Cambria Math" w:eastAsiaTheme="minorHAnsi" w:hAnsi="Cambria Math"/>
              </w:rPr>
              <m:t>log</m:t>
            </m:r>
          </m:fName>
          <m:e>
            <m:r>
              <w:rPr>
                <w:rFonts w:ascii="Cambria Math" w:eastAsiaTheme="minorHAnsi" w:hAnsi="Cambria Math"/>
              </w:rPr>
              <m:t>p</m:t>
            </m:r>
          </m:e>
        </m:func>
        <m:d>
          <m:dPr>
            <m:ctrlPr>
              <w:rPr>
                <w:rFonts w:ascii="Cambria Math" w:eastAsiaTheme="minorHAnsi" w:hAnsi="Cambria Math"/>
              </w:rPr>
            </m:ctrlPr>
          </m:dPr>
          <m:e>
            <m:sSubSup>
              <m:sSubSupPr>
                <m:ctrlPr>
                  <w:rPr>
                    <w:rFonts w:ascii="Cambria Math" w:eastAsiaTheme="minorHAnsi" w:hAnsi="Cambria Math"/>
                  </w:rPr>
                </m:ctrlPr>
              </m:sSubSupPr>
              <m:e>
                <m:r>
                  <w:rPr>
                    <w:rFonts w:ascii="Cambria Math" w:eastAsiaTheme="minorHAnsi" w:hAnsi="Cambria Math"/>
                  </w:rPr>
                  <m:t>b</m:t>
                </m:r>
              </m:e>
              <m:sub>
                <m:r>
                  <w:rPr>
                    <w:rFonts w:ascii="Cambria Math" w:eastAsiaTheme="minorHAnsi" w:hAnsi="Cambria Math"/>
                  </w:rPr>
                  <m:t>t</m:t>
                </m:r>
              </m:sub>
              <m:sup>
                <m:r>
                  <w:rPr>
                    <w:rFonts w:ascii="Cambria Math" w:eastAsiaTheme="minorHAnsi" w:hAnsi="Cambria Math"/>
                  </w:rPr>
                  <m:t>c</m:t>
                </m:r>
              </m:sup>
            </m:sSubSup>
            <m:r>
              <w:rPr>
                <w:rFonts w:ascii="Cambria Math" w:eastAsiaTheme="minorHAnsi" w:hAnsi="Cambria Math"/>
              </w:rPr>
              <m:t>∣</m:t>
            </m:r>
            <m:sSub>
              <m:sSubPr>
                <m:ctrlPr>
                  <w:rPr>
                    <w:rFonts w:ascii="Cambria Math" w:eastAsiaTheme="minorHAnsi" w:hAnsi="Cambria Math"/>
                  </w:rPr>
                </m:ctrlPr>
              </m:sSubPr>
              <m:e>
                <m:r>
                  <w:rPr>
                    <w:rFonts w:ascii="Cambria Math" w:eastAsiaTheme="minorHAnsi" w:hAnsi="Cambria Math"/>
                  </w:rPr>
                  <m:t>b</m:t>
                </m:r>
              </m:e>
              <m:sub>
                <m:r>
                  <w:rPr>
                    <w:rFonts w:ascii="Cambria Math" w:eastAsiaTheme="minorHAnsi" w:hAnsi="Cambria Math"/>
                  </w:rPr>
                  <m:t>&lt;t</m:t>
                </m:r>
              </m:sub>
            </m:sSub>
          </m:e>
        </m:d>
      </m:oMath>
      <w:r w:rsidR="005D36D5" w:rsidRPr="005D36D5">
        <w:rPr>
          <w:rFonts w:eastAsiaTheme="minorHAnsi"/>
          <w:lang w:eastAsia="en-US"/>
        </w:rPr>
        <w:t>: Xác suất dự báo subtoken thô dựa trên bối cảnh lịch sử.</w:t>
      </w:r>
    </w:p>
    <w:p w14:paraId="1DDC0C37" w14:textId="579AC607" w:rsidR="005D36D5" w:rsidRDefault="00000000" w:rsidP="005D36D5">
      <w:pPr>
        <w:numPr>
          <w:ilvl w:val="0"/>
          <w:numId w:val="16"/>
        </w:numPr>
        <w:rPr>
          <w:rFonts w:eastAsiaTheme="minorHAnsi"/>
          <w:lang w:eastAsia="en-US"/>
        </w:rPr>
      </w:pPr>
      <m:oMath>
        <m:func>
          <m:funcPr>
            <m:ctrlPr>
              <w:rPr>
                <w:rFonts w:ascii="Cambria Math" w:eastAsiaTheme="minorHAnsi" w:hAnsi="Cambria Math"/>
              </w:rPr>
            </m:ctrlPr>
          </m:funcPr>
          <m:fName>
            <m:r>
              <m:rPr>
                <m:sty m:val="p"/>
              </m:rPr>
              <w:rPr>
                <w:rFonts w:ascii="Cambria Math" w:eastAsiaTheme="minorHAnsi" w:hAnsi="Cambria Math"/>
              </w:rPr>
              <m:t>log</m:t>
            </m:r>
          </m:fName>
          <m:e>
            <m:r>
              <w:rPr>
                <w:rFonts w:ascii="Cambria Math" w:eastAsiaTheme="minorHAnsi" w:hAnsi="Cambria Math"/>
              </w:rPr>
              <m:t>p</m:t>
            </m:r>
          </m:e>
        </m:func>
        <m:d>
          <m:dPr>
            <m:ctrlPr>
              <w:rPr>
                <w:rFonts w:ascii="Cambria Math" w:eastAsiaTheme="minorHAnsi" w:hAnsi="Cambria Math"/>
              </w:rPr>
            </m:ctrlPr>
          </m:dPr>
          <m:e>
            <m:sSubSup>
              <m:sSubSupPr>
                <m:ctrlPr>
                  <w:rPr>
                    <w:rFonts w:ascii="Cambria Math" w:eastAsiaTheme="minorHAnsi" w:hAnsi="Cambria Math"/>
                  </w:rPr>
                </m:ctrlPr>
              </m:sSubSupPr>
              <m:e>
                <m:r>
                  <w:rPr>
                    <w:rFonts w:ascii="Cambria Math" w:eastAsiaTheme="minorHAnsi" w:hAnsi="Cambria Math"/>
                  </w:rPr>
                  <m:t>b</m:t>
                </m:r>
              </m:e>
              <m:sub>
                <m:r>
                  <w:rPr>
                    <w:rFonts w:ascii="Cambria Math" w:eastAsiaTheme="minorHAnsi" w:hAnsi="Cambria Math"/>
                  </w:rPr>
                  <m:t>t</m:t>
                </m:r>
              </m:sub>
              <m:sup>
                <m:r>
                  <w:rPr>
                    <w:rFonts w:ascii="Cambria Math" w:eastAsiaTheme="minorHAnsi" w:hAnsi="Cambria Math"/>
                  </w:rPr>
                  <m:t>f</m:t>
                </m:r>
              </m:sup>
            </m:sSubSup>
            <m:r>
              <w:rPr>
                <w:rFonts w:ascii="Cambria Math" w:eastAsiaTheme="minorHAnsi" w:hAnsi="Cambria Math"/>
              </w:rPr>
              <m:t>∣</m:t>
            </m:r>
            <m:sSub>
              <m:sSubPr>
                <m:ctrlPr>
                  <w:rPr>
                    <w:rFonts w:ascii="Cambria Math" w:eastAsiaTheme="minorHAnsi" w:hAnsi="Cambria Math"/>
                  </w:rPr>
                </m:ctrlPr>
              </m:sSubPr>
              <m:e>
                <m:r>
                  <w:rPr>
                    <w:rFonts w:ascii="Cambria Math" w:eastAsiaTheme="minorHAnsi" w:hAnsi="Cambria Math"/>
                  </w:rPr>
                  <m:t>b</m:t>
                </m:r>
              </m:e>
              <m:sub>
                <m:r>
                  <w:rPr>
                    <w:rFonts w:ascii="Cambria Math" w:eastAsiaTheme="minorHAnsi" w:hAnsi="Cambria Math"/>
                  </w:rPr>
                  <m:t>&lt;t</m:t>
                </m:r>
              </m:sub>
            </m:sSub>
            <m:r>
              <w:rPr>
                <w:rFonts w:ascii="Cambria Math" w:eastAsiaTheme="minorHAnsi" w:hAnsi="Cambria Math"/>
              </w:rPr>
              <m:t>,</m:t>
            </m:r>
            <m:sSubSup>
              <m:sSubSupPr>
                <m:ctrlPr>
                  <w:rPr>
                    <w:rFonts w:ascii="Cambria Math" w:eastAsiaTheme="minorHAnsi" w:hAnsi="Cambria Math"/>
                  </w:rPr>
                </m:ctrlPr>
              </m:sSubSupPr>
              <m:e>
                <m:r>
                  <w:rPr>
                    <w:rFonts w:ascii="Cambria Math" w:eastAsiaTheme="minorHAnsi" w:hAnsi="Cambria Math"/>
                  </w:rPr>
                  <m:t>b</m:t>
                </m:r>
              </m:e>
              <m:sub>
                <m:r>
                  <w:rPr>
                    <w:rFonts w:ascii="Cambria Math" w:eastAsiaTheme="minorHAnsi" w:hAnsi="Cambria Math"/>
                  </w:rPr>
                  <m:t>t</m:t>
                </m:r>
              </m:sub>
              <m:sup>
                <m:r>
                  <w:rPr>
                    <w:rFonts w:ascii="Cambria Math" w:eastAsiaTheme="minorHAnsi" w:hAnsi="Cambria Math"/>
                  </w:rPr>
                  <m:t>c</m:t>
                </m:r>
              </m:sup>
            </m:sSubSup>
          </m:e>
        </m:d>
      </m:oMath>
      <w:r w:rsidR="005D36D5" w:rsidRPr="005D36D5">
        <w:rPr>
          <w:rFonts w:eastAsiaTheme="minorHAnsi"/>
          <w:lang w:eastAsia="en-US"/>
        </w:rPr>
        <w:t>: Xác suất dự báo subtoken chi tiết, được cung cấp thêm điều kiện là subtoken thô vừa dự báo.</w:t>
      </w:r>
    </w:p>
    <w:p w14:paraId="4789538E" w14:textId="1E1CA753" w:rsidR="005D36D5" w:rsidRDefault="005D36D5" w:rsidP="005D36D5">
      <w:pPr>
        <w:rPr>
          <w:rFonts w:eastAsiaTheme="minorHAnsi"/>
          <w:lang w:eastAsia="en-US"/>
        </w:rPr>
      </w:pPr>
      <w:r>
        <w:rPr>
          <w:rFonts w:eastAsiaTheme="minorHAnsi"/>
          <w:lang w:eastAsia="en-US"/>
        </w:rPr>
        <w:t>Hàm loss tận dụng tối đa cấu trúc phân cấp, việc phân rã hàm log-likelihood cho phép mô hình dự báo subtoken thô để làm khung từ đó làm cơ sở để subtoken tinh chỉnh phần dư ở bước tiếp theo.</w:t>
      </w:r>
    </w:p>
    <w:p w14:paraId="67FAC1AC" w14:textId="63498B2B" w:rsidR="005D36D5" w:rsidRDefault="005D36D5" w:rsidP="005D36D5">
      <w:pPr>
        <w:pStyle w:val="u3"/>
        <w:rPr>
          <w:rFonts w:eastAsiaTheme="minorHAnsi"/>
        </w:rPr>
      </w:pPr>
      <w:r>
        <w:rPr>
          <w:rFonts w:eastAsiaTheme="minorHAnsi"/>
        </w:rPr>
        <w:lastRenderedPageBreak/>
        <w:t>Phương pháp thích nghi hạng thấp (Low-Rank Adaptation – LoRA)</w:t>
      </w:r>
    </w:p>
    <w:p w14:paraId="18317127" w14:textId="77777777" w:rsidR="005D36D5" w:rsidRDefault="005D36D5" w:rsidP="005D36D5">
      <w:pPr>
        <w:rPr>
          <w:rFonts w:eastAsiaTheme="minorHAnsi"/>
          <w:lang w:eastAsia="en-US"/>
        </w:rPr>
      </w:pPr>
      <w:r w:rsidRPr="005D36D5">
        <w:rPr>
          <w:rFonts w:eastAsiaTheme="minorHAnsi"/>
          <w:lang w:eastAsia="en-US"/>
        </w:rPr>
        <w:t>Một hướng tiếp cận khác cho fine</w:t>
      </w:r>
      <w:r w:rsidRPr="005D36D5">
        <w:rPr>
          <w:rFonts w:eastAsiaTheme="minorHAnsi"/>
          <w:lang w:eastAsia="en-US"/>
        </w:rPr>
        <w:noBreakHyphen/>
        <w:t>tuning mô hình nền tảng là Low</w:t>
      </w:r>
      <w:r w:rsidRPr="005D36D5">
        <w:rPr>
          <w:rFonts w:eastAsiaTheme="minorHAnsi"/>
          <w:lang w:eastAsia="en-US"/>
        </w:rPr>
        <w:noBreakHyphen/>
        <w:t xml:space="preserve">Rank Adaptation (LoRA), do Hu và cộng sự đề xuất [16]. Nguyên lý cốt lõi của LoRA dựa trên quan sát rằng sự thay đổi của ma trận trọng số trong quá trình thích nghi thường có hạng thấp, tức có thể biểu diễn bằng tích của hai ma trận nhỏ hơn nhiều so với ma trận gốc. </w:t>
      </w:r>
    </w:p>
    <w:p w14:paraId="484BACBD" w14:textId="34055214" w:rsidR="005D36D5" w:rsidRDefault="005D36D5" w:rsidP="005D36D5">
      <w:pPr>
        <w:rPr>
          <w:rFonts w:eastAsiaTheme="minorHAnsi"/>
          <w:lang w:eastAsia="en-US"/>
        </w:rPr>
      </w:pPr>
      <w:r w:rsidRPr="005D36D5">
        <w:rPr>
          <w:rFonts w:eastAsiaTheme="minorHAnsi"/>
          <w:lang w:eastAsia="en-US"/>
        </w:rPr>
        <w:t>Cụ thể, với một tầng tuyến tính có trọng số tiền huấn luyện cố định </w:t>
      </w:r>
      <m:oMath>
        <m:sSub>
          <m:sSubPr>
            <m:ctrlPr>
              <w:rPr>
                <w:rFonts w:ascii="Cambria Math" w:eastAsiaTheme="minorHAnsi" w:hAnsi="Cambria Math"/>
              </w:rPr>
            </m:ctrlPr>
          </m:sSubPr>
          <m:e>
            <m:r>
              <w:rPr>
                <w:rFonts w:ascii="Cambria Math" w:eastAsiaTheme="minorHAnsi" w:hAnsi="Cambria Math"/>
              </w:rPr>
              <m:t>W</m:t>
            </m:r>
          </m:e>
          <m:sub>
            <m:r>
              <w:rPr>
                <w:rFonts w:ascii="Cambria Math" w:eastAsiaTheme="minorHAnsi" w:hAnsi="Cambria Math"/>
              </w:rPr>
              <m:t>0</m:t>
            </m:r>
          </m:sub>
        </m:sSub>
      </m:oMath>
      <w:r w:rsidRPr="005D36D5">
        <w:rPr>
          <w:rFonts w:eastAsiaTheme="minorHAnsi"/>
          <w:lang w:eastAsia="en-US"/>
        </w:rPr>
        <w:t xml:space="preserve">, LoRA bổ sung một lượng cập nhật được tham số hóa dưới dạng ∆W = BA, trong đó B và A là hai ma trận có hạng r thấp (thường r = 8 hoặc 16). Trong quá trình huấn luyện, chỉ B và A được cập nhật, còn </w:t>
      </w:r>
      <m:oMath>
        <m:sSub>
          <m:sSubPr>
            <m:ctrlPr>
              <w:rPr>
                <w:rFonts w:ascii="Cambria Math" w:eastAsiaTheme="minorHAnsi" w:hAnsi="Cambria Math"/>
              </w:rPr>
            </m:ctrlPr>
          </m:sSubPr>
          <m:e>
            <m:r>
              <w:rPr>
                <w:rFonts w:ascii="Cambria Math" w:eastAsiaTheme="minorHAnsi" w:hAnsi="Cambria Math"/>
              </w:rPr>
              <m:t>W</m:t>
            </m:r>
          </m:e>
          <m:sub>
            <m:r>
              <w:rPr>
                <w:rFonts w:ascii="Cambria Math" w:eastAsiaTheme="minorHAnsi" w:hAnsi="Cambria Math"/>
              </w:rPr>
              <m:t>0</m:t>
            </m:r>
          </m:sub>
        </m:sSub>
        <m:r>
          <w:rPr>
            <w:rFonts w:ascii="Cambria Math" w:eastAsiaTheme="minorHAnsi" w:hAnsi="Cambria Math"/>
          </w:rPr>
          <m:t xml:space="preserve"> </m:t>
        </m:r>
      </m:oMath>
      <w:r w:rsidRPr="005D36D5">
        <w:rPr>
          <w:rFonts w:eastAsiaTheme="minorHAnsi"/>
          <w:lang w:eastAsia="en-US"/>
        </w:rPr>
        <w:t>được giữ nguyên. Cơ chế này mang lại hai lợi ích chính. Thứ nhất, số lượng tham số cần tối ưu giảm mạnh (ví dụ từ d×d xuống 2×d×r), giúp tiết kiệm bộ nhớ, tăng tốc độ tính toán và đặc biệt quan trọng với những tập dữ liệu nhỏ – nơi việc cập nhật toàn bộ trọng số dễ dẫn đến quá khớp. Thứ hai, việc giữ nguyên trọng số gốc bảo toàn toàn bộ tri thức tiền huấn luyện, tránh hiện tượng quên thảm khốc (catastrophic forgetting).</w:t>
      </w:r>
    </w:p>
    <w:p w14:paraId="7E99D1BF" w14:textId="58C3E814" w:rsidR="00C96432" w:rsidRPr="00C96432" w:rsidRDefault="00C96432" w:rsidP="00C96432">
      <w:pPr>
        <w:pStyle w:val="u2"/>
        <w:rPr>
          <w:rFonts w:eastAsiaTheme="minorHAnsi"/>
        </w:rPr>
      </w:pPr>
      <w:r w:rsidRPr="00C96432">
        <w:rPr>
          <w:rFonts w:eastAsiaTheme="minorHAnsi"/>
        </w:rPr>
        <w:t>Thu thập và chuẩn bị dữ liệu</w:t>
      </w:r>
    </w:p>
    <w:p w14:paraId="0A5EC082" w14:textId="04449AA9" w:rsidR="00C96432" w:rsidRPr="00C96432" w:rsidRDefault="00C96432" w:rsidP="00C96432">
      <w:pPr>
        <w:rPr>
          <w:rFonts w:eastAsiaTheme="minorHAnsi"/>
          <w:lang w:eastAsia="en-US"/>
        </w:rPr>
      </w:pPr>
      <w:r w:rsidRPr="00C96432">
        <w:rPr>
          <w:rFonts w:eastAsiaTheme="minorHAnsi"/>
          <w:lang w:eastAsia="en-US"/>
        </w:rPr>
        <w:t xml:space="preserve">Dữ liệu được thu thập thông qua thư viện `vnstock`, vốn kết nối API công khai từ các công ty chứng khoán SSI, TCBS và VCI </w:t>
      </w:r>
      <w:sdt>
        <w:sdtPr>
          <w:rPr>
            <w:rFonts w:eastAsiaTheme="minorHAnsi"/>
            <w:color w:val="000000"/>
            <w:lang w:eastAsia="en-US"/>
          </w:rPr>
          <w:tag w:val="MENDELEY_CITATION_v3_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"/>
          <w:id w:val="-1565094041"/>
          <w:placeholder>
            <w:docPart w:val="DefaultPlaceholder_-1854013440"/>
          </w:placeholder>
        </w:sdtPr>
        <w:sdtContent>
          <w:r w:rsidRPr="00C96432">
            <w:rPr>
              <w:rFonts w:eastAsiaTheme="minorHAnsi"/>
              <w:color w:val="000000"/>
              <w:lang w:eastAsia="en-US"/>
            </w:rPr>
            <w:t>[6]</w:t>
          </w:r>
        </w:sdtContent>
      </w:sdt>
      <w:r w:rsidRPr="00C96432">
        <w:rPr>
          <w:rFonts w:eastAsiaTheme="minorHAnsi"/>
          <w:lang w:eastAsia="en-US"/>
        </w:rPr>
        <w:t>. Nghiên cứu chỉ sử dụng nến ngày (1D) vì đây là tần suất duy nhất có lịch sử lưu trữ đầy đủ; nến tần suất cao (1H, 15 phút) không khả thi do hạn chế về băng thông API và chính sách lưu trữ, đồng thời cơ chế T+2 khiến các dự báo trong phiên mất đi lợi thế hành động tức thì .</w:t>
      </w:r>
    </w:p>
    <w:p w14:paraId="700BEBB4" w14:textId="77777777" w:rsidR="00C96432" w:rsidRPr="00C96432" w:rsidRDefault="00C96432" w:rsidP="00C96432">
      <w:pPr>
        <w:rPr>
          <w:rFonts w:eastAsiaTheme="minorHAnsi"/>
          <w:lang w:eastAsia="en-US"/>
        </w:rPr>
      </w:pPr>
      <w:r w:rsidRPr="00C96432">
        <w:rPr>
          <w:rFonts w:eastAsiaTheme="minorHAnsi"/>
          <w:lang w:eastAsia="en-US"/>
        </w:rPr>
        <w:t>Danh mục gồm 50 cổ phiếu: toàn bộ rổ VN30 và 20 mã thuộc VNMIDCAP có thanh khoản bình quân phiên trên 50 tỷ đồng và lịch sử niêm yết tối thiểu 7 năm. Mỗi mã được lưu thành một tệp CSV riêng biệt với các cột `timestamps, open, high, low, close, volume, amount`, trong đó `amount` được ước tính bằng công thức `amount = volume × (open + high + low + close) / 4` nếu API không trả về. Cách tổ chức riêng lẻ này đảm bảo cửa sổ trượt không bị cắt ngang ranh giới giữa hai cổ phiếu.</w:t>
      </w:r>
    </w:p>
    <w:p w14:paraId="145E463D" w14:textId="77777777" w:rsidR="00C96432" w:rsidRPr="00C96432" w:rsidRDefault="00C96432" w:rsidP="00C96432">
      <w:pPr>
        <w:rPr>
          <w:rFonts w:eastAsiaTheme="minorHAnsi"/>
          <w:lang w:eastAsia="en-US"/>
        </w:rPr>
      </w:pPr>
    </w:p>
    <w:p w14:paraId="65E10791" w14:textId="7FB950B9" w:rsidR="00C96432" w:rsidRPr="005D36D5" w:rsidRDefault="00C96432" w:rsidP="00C96432">
      <w:pPr>
        <w:rPr>
          <w:rFonts w:eastAsiaTheme="minorHAnsi"/>
          <w:lang w:eastAsia="en-US"/>
        </w:rPr>
      </w:pPr>
      <w:r w:rsidRPr="00C96432">
        <w:rPr>
          <w:rFonts w:eastAsiaTheme="minorHAnsi"/>
          <w:lang w:eastAsia="en-US"/>
        </w:rPr>
        <w:lastRenderedPageBreak/>
        <w:t>Về tiền xử lý, giá trị khuyết được lấp bằng phương pháp forward‑fill, thay vì nội suy, nhằm tránh rò rỉ thông tin tương lai. Dữ liệu sau đó được phân tích thăm dò (EDA): kiểm tra độ phủ, phân phối lợi suất và hiệu ứng cắt cụt tại ±7%, cũng như tính dừng bằng kiểm định ADF. Chuẩn hóa Z‑score được thực hiện trên từng cửa sổ trượt độc lập, sau đó giá trị được cắt về khoảng [‑5, 5] để loại bỏ ngoại lai. Cặp trung bình và độ lệch chuẩn của cửa sổ đầu vào được lưu lại để giải chuẩn hóa khi suy luận. Cuối cùng, nhãn thời gian được đặt cố định giờ mở cửa (09:00), khiến các đặc trưng `minute` và `hour` trở thành hằng số và được mô hình tự động bỏ qua, trong khi các trường `weekday`, `day`, `month` giữ lại tín hiệu lịch.</w:t>
      </w:r>
    </w:p>
    <w:p w14:paraId="1D69C469" w14:textId="565374EC" w:rsidR="00C96432" w:rsidRPr="00C96432" w:rsidRDefault="00C96432" w:rsidP="00C96432">
      <w:pPr>
        <w:pStyle w:val="u2"/>
        <w:rPr>
          <w:rFonts w:eastAsiaTheme="minorHAnsi"/>
        </w:rPr>
      </w:pPr>
      <w:r w:rsidRPr="00C96432">
        <w:rPr>
          <w:rFonts w:eastAsiaTheme="minorHAnsi"/>
        </w:rPr>
        <w:t>Thiết kế huấn luyện</w:t>
      </w:r>
    </w:p>
    <w:p w14:paraId="71A244CE" w14:textId="796C2FB3" w:rsidR="00C96432" w:rsidRPr="00C96432" w:rsidRDefault="00C96432" w:rsidP="00C96432">
      <w:pPr>
        <w:pStyle w:val="u3"/>
        <w:rPr>
          <w:rFonts w:eastAsiaTheme="minorHAnsi"/>
        </w:rPr>
      </w:pPr>
      <w:r w:rsidRPr="00C96432">
        <w:rPr>
          <w:rFonts w:eastAsiaTheme="minorHAnsi"/>
        </w:rPr>
        <w:t xml:space="preserve">Nguyên tắc bất biến kiến trúc. </w:t>
      </w:r>
    </w:p>
    <w:p w14:paraId="3B6672F8" w14:textId="466ED393" w:rsidR="00C96432" w:rsidRPr="00C96432" w:rsidRDefault="00C96432" w:rsidP="00C96432">
      <w:pPr>
        <w:rPr>
          <w:rFonts w:eastAsiaTheme="minorHAnsi"/>
          <w:lang w:eastAsia="en-US"/>
        </w:rPr>
      </w:pPr>
      <w:r w:rsidRPr="00C96432">
        <w:rPr>
          <w:rFonts w:eastAsiaTheme="minorHAnsi"/>
          <w:lang w:eastAsia="en-US"/>
        </w:rPr>
        <w:t>Mọi can thiệp vào kiến trúc gốc của Kronos đều bị loại bỏ. Predictor không được bổ sung thêm đầu phân loại, hàm mất mát giữ nguyên là Cross‑Entropy trên hai token S1 và S2. Các bài toán xu hướng và rủi ro chỉ được giải quyết ở tầng hậu xử lý (Mục 2.4). Nguyên tắc này xuất phát từ thực tế: với chỉ 50 chuỗi thời gian độc lập, bất kỳ sự gia tăng tham số nào cũng đẩy mô hình vào vùng quá khớp nghiêm trọng.</w:t>
      </w:r>
    </w:p>
    <w:p w14:paraId="38CF64E2" w14:textId="7BF166AC" w:rsidR="00C96432" w:rsidRPr="00C96432" w:rsidRDefault="00C96432" w:rsidP="00275892">
      <w:pPr>
        <w:pStyle w:val="u3"/>
        <w:rPr>
          <w:rFonts w:eastAsiaTheme="minorHAnsi"/>
        </w:rPr>
      </w:pPr>
      <w:r w:rsidRPr="00C96432">
        <w:rPr>
          <w:rFonts w:eastAsiaTheme="minorHAnsi"/>
        </w:rPr>
        <w:t>Chiến lược lấy mẫu đa mã</w:t>
      </w:r>
    </w:p>
    <w:p w14:paraId="3A53D862" w14:textId="476D3A9B" w:rsidR="00C96432" w:rsidRPr="00C96432" w:rsidRDefault="00C96432" w:rsidP="00C96432">
      <w:pPr>
        <w:rPr>
          <w:rFonts w:eastAsiaTheme="minorHAnsi"/>
          <w:lang w:eastAsia="en-US"/>
        </w:rPr>
      </w:pPr>
      <w:r w:rsidRPr="00C96432">
        <w:rPr>
          <w:rFonts w:eastAsiaTheme="minorHAnsi"/>
          <w:lang w:eastAsia="en-US"/>
        </w:rPr>
        <w:t>Mã nguồn gốc của Kronos đọc dữ liệu từ một tệp CSV duy nhất, dễ dẫn đến cửa sổ trượt cắt ngang ranh giới hai mã cổ phiếu. Để khắc phục, lớp `MultiStockDataset` được xây dựng: 50 tệp CSV được nạp đồng thời, mỗi tệp tương ứng một mã. Trong mỗi bước huấn luyện, một mã được chọn ngẫu nhiên, sau đó một cửa sổ liên tục trong chuỗi của mã đó được trích xuất. Nhờ vậy, toàn bộ dữ liệu trong một mẫu huấn luyện luôn thuộc về một cổ phiếu duy nhất.</w:t>
      </w:r>
    </w:p>
    <w:p w14:paraId="64CC9D34" w14:textId="64D74CE9" w:rsidR="00C96432" w:rsidRPr="00275892" w:rsidRDefault="00C96432" w:rsidP="00C96432">
      <w:pPr>
        <w:pStyle w:val="u3"/>
        <w:rPr>
          <w:rFonts w:eastAsiaTheme="minorHAnsi"/>
        </w:rPr>
      </w:pPr>
      <w:r w:rsidRPr="00C96432">
        <w:rPr>
          <w:rFonts w:eastAsiaTheme="minorHAnsi"/>
        </w:rPr>
        <w:t>. Pipeline huấn luyện hai giai đoạn</w:t>
      </w:r>
    </w:p>
    <w:p w14:paraId="18B7C329" w14:textId="77777777" w:rsidR="00C96432" w:rsidRPr="00C96432" w:rsidRDefault="00C96432" w:rsidP="00C96432">
      <w:pPr>
        <w:rPr>
          <w:rFonts w:eastAsiaTheme="minorHAnsi"/>
          <w:lang w:eastAsia="en-US"/>
        </w:rPr>
      </w:pPr>
      <w:r w:rsidRPr="00C96432">
        <w:rPr>
          <w:rFonts w:eastAsiaTheme="minorHAnsi"/>
          <w:lang w:eastAsia="en-US"/>
        </w:rPr>
        <w:t>Huấn luyện được thực hiện theo đúng quy trình hai giai đoạn do tác giả Kronos đề xuất, nhằm thích nghi tuần tự Tokenizer và Predictor với dữ liệu Việt Nam.</w:t>
      </w:r>
    </w:p>
    <w:p w14:paraId="5CC6CB9E" w14:textId="77777777" w:rsidR="00C96432" w:rsidRPr="00C96432" w:rsidRDefault="00C96432" w:rsidP="00C96432">
      <w:pPr>
        <w:rPr>
          <w:rFonts w:eastAsiaTheme="minorHAnsi"/>
          <w:lang w:eastAsia="en-US"/>
        </w:rPr>
      </w:pPr>
    </w:p>
    <w:p w14:paraId="75E0523E" w14:textId="4A0D6826" w:rsidR="00C96432" w:rsidRPr="00C96432" w:rsidRDefault="00C96432" w:rsidP="00C96432">
      <w:pPr>
        <w:rPr>
          <w:rFonts w:eastAsiaTheme="minorHAnsi"/>
          <w:lang w:eastAsia="en-US"/>
        </w:rPr>
      </w:pPr>
      <w:r w:rsidRPr="00C96432">
        <w:rPr>
          <w:rFonts w:eastAsiaTheme="minorHAnsi"/>
          <w:lang w:eastAsia="en-US"/>
        </w:rPr>
        <w:lastRenderedPageBreak/>
        <w:t>Giai đoạn 1 – Thích nghi Tokenizer có kiểm soát. Toàn bộ Tokenizer được fine‑tune với tốc độ học thấp (5×10⁻⁵) trong 5–10 epoch, xuất phát từ trọng số tiền huấn luyện. Mục tiêu là giảm sai số tái tạo nến trên phân phối giá bị cắt cụt ±7% mà vẫn giữ được độ phân tán của bảng mã nhị phân. Quá trình dừng sớm ngay lập tức nếu `bsq_loss` có xu hướng tăng hoặc tỉ lệ sử dụng codebook tụt dưới 30%, ngăn chặn codebook collapse. Các chỉ số `recon_loss_all`, `recon_loss_pre` và mức sử dụng codebook được theo dõi liên tục.</w:t>
      </w:r>
    </w:p>
    <w:p w14:paraId="1555DE72" w14:textId="336BE5B7" w:rsidR="00C96432" w:rsidRPr="00C96432" w:rsidRDefault="00C96432" w:rsidP="00C96432">
      <w:pPr>
        <w:rPr>
          <w:rFonts w:eastAsiaTheme="minorHAnsi"/>
          <w:lang w:eastAsia="en-US"/>
        </w:rPr>
      </w:pPr>
      <w:r w:rsidRPr="00C96432">
        <w:rPr>
          <w:rFonts w:eastAsiaTheme="minorHAnsi"/>
          <w:lang w:eastAsia="en-US"/>
        </w:rPr>
        <w:t>Giai đoạn 2 – Thích nghi Predictor với LoRA. Do tập dữ liệu chỉ chứa 50 chuỗi độc lập, việc cập nhật toàn bộ tham số Predictor dễ dẫn đến quên kiến thức nền và quá khớp. Vì vậy, nghiên cứu sử dụng Low‑Rank Adaptation (LoRA) [16] cho tất cả các tầng chú ý và truyền xuôi trong khối Transformer. Các trọng số gốc của Predictor được đóng băng hoàn toàn; mỗi tầng được bổ sung một cặp ma trận hạng thấp A</w:t>
      </w:r>
      <w:r w:rsidR="00275892">
        <w:rPr>
          <w:rFonts w:eastAsiaTheme="minorHAnsi"/>
          <w:lang w:eastAsia="en-US"/>
        </w:rPr>
        <w:t xml:space="preserve"> </w:t>
      </w:r>
      <w:r w:rsidRPr="00C96432">
        <w:rPr>
          <w:rFonts w:eastAsiaTheme="minorHAnsi"/>
          <w:lang w:eastAsia="en-US"/>
        </w:rPr>
        <w:t xml:space="preserve">và B (hạng r = 8) sao cho lượng cập nhật trọng số là ΔW = BA. Trong giai đoạn này, chỉ các ma trận LoRA được tối ưu. Tốc độ học cho LoRA được đặt ở mức 5×10⁻⁴, số epoch tối đa 20, weight decay 0.1, batch size </w:t>
      </w:r>
      <w:r w:rsidR="00275892">
        <w:rPr>
          <w:rFonts w:eastAsiaTheme="minorHAnsi"/>
          <w:lang w:eastAsia="en-US"/>
        </w:rPr>
        <w:t>16</w:t>
      </w:r>
      <w:r w:rsidRPr="00C96432">
        <w:rPr>
          <w:rFonts w:eastAsiaTheme="minorHAnsi"/>
          <w:lang w:eastAsia="en-US"/>
        </w:rPr>
        <w:t>. Tokenizer đã thích nghi ở giai đoạn 1 được giữ cố định.</w:t>
      </w:r>
    </w:p>
    <w:p w14:paraId="0402DAB0" w14:textId="77777777" w:rsidR="00275892" w:rsidRDefault="00C96432" w:rsidP="00C96432">
      <w:pPr>
        <w:rPr>
          <w:rFonts w:eastAsiaTheme="minorHAnsi"/>
          <w:lang w:eastAsia="en-US"/>
        </w:rPr>
      </w:pPr>
      <w:r w:rsidRPr="00C96432">
        <w:rPr>
          <w:rFonts w:eastAsiaTheme="minorHAnsi"/>
          <w:lang w:eastAsia="en-US"/>
        </w:rPr>
        <w:t>Các siêu tham số thời gian được giữ nguyên: lookback window 126 nến (~6 tháng), predict window 5 nến (một tuần), phù hợp với đặc điểm T+2 và hạn chế tích lũy sai số tự hồi quy. Dữ liệu được chia 70% cho huấn luyện, 30% cho kiểm định nội bộ; đánh giá cuối cùng được thực hiện độc lập bằng walk‑forward (Mục 3.1).</w:t>
      </w:r>
    </w:p>
    <w:p w14:paraId="4B6D7852" w14:textId="6441427F" w:rsidR="00C96432" w:rsidRPr="00275892" w:rsidRDefault="00C96432" w:rsidP="00C96432">
      <w:pPr>
        <w:pStyle w:val="u2"/>
        <w:rPr>
          <w:rFonts w:eastAsiaTheme="minorHAnsi"/>
        </w:rPr>
      </w:pPr>
      <w:r w:rsidRPr="00C96432">
        <w:rPr>
          <w:rFonts w:eastAsiaTheme="minorHAnsi"/>
        </w:rPr>
        <w:t>Suy luận và logic nghiệp vụ</w:t>
      </w:r>
    </w:p>
    <w:p w14:paraId="41B33945" w14:textId="67FBEDF5" w:rsidR="00C96432" w:rsidRPr="00C96432" w:rsidRDefault="00C96432" w:rsidP="00C96432">
      <w:pPr>
        <w:rPr>
          <w:rFonts w:eastAsiaTheme="minorHAnsi"/>
          <w:lang w:eastAsia="en-US"/>
        </w:rPr>
      </w:pPr>
      <w:r w:rsidRPr="00C96432">
        <w:rPr>
          <w:rFonts w:eastAsiaTheme="minorHAnsi"/>
          <w:lang w:eastAsia="en-US"/>
        </w:rPr>
        <w:t>Sau huấn luyện, Kronos được sử dụng để sinh dự báo thông qua cơ chế tự hồi quy kết hợp lấy mẫu ngẫu nhiên (stochastic sampling). Với cùng một cửa sổ đầu vào, mô hình thực hiện N = 50 lần suy luận độc lập, mỗi lần chọn token theo phân phối xác suất (temperature = 1.0, top‑p = 0.99). Kết quả thu được một tập hợp N đường giá tương lai, phản ánh phân phối bất định của thị trường theo cách nhìn của mô hình.</w:t>
      </w:r>
    </w:p>
    <w:p w14:paraId="5409CA1D" w14:textId="46E4D048" w:rsidR="00C96432" w:rsidRPr="00C96432" w:rsidRDefault="00C96432" w:rsidP="00C96432">
      <w:pPr>
        <w:rPr>
          <w:rFonts w:eastAsiaTheme="minorHAnsi"/>
          <w:lang w:eastAsia="en-US"/>
        </w:rPr>
      </w:pPr>
      <w:r w:rsidRPr="00C96432">
        <w:rPr>
          <w:rFonts w:eastAsiaTheme="minorHAnsi"/>
          <w:lang w:eastAsia="en-US"/>
        </w:rPr>
        <w:t xml:space="preserve">Từ tập mẫu này, các chỉ báo nghiệp vụ được tính toán mà không cần thay đổi mạng. Giá đóng cửa trung bình của ngày thứ năm trong tất cả các mẫu được dùng làm dự báo điểm. Xu hướng được xác định bằng cách so sánh mức thay đổi tương đối của giá này với giá đóng cửa hiện tại: nếu mức tăng vượt quá 3% xu hướng được gán nhãn “Tăng”, ngược </w:t>
      </w:r>
      <w:r w:rsidRPr="00C96432">
        <w:rPr>
          <w:rFonts w:eastAsiaTheme="minorHAnsi"/>
          <w:lang w:eastAsia="en-US"/>
        </w:rPr>
        <w:lastRenderedPageBreak/>
        <w:t>lại nếu giảm quá 3% là “Giảm”, còn lại là “Đi ngang”. Ngưỡng 3% được chọn để lọc nhiễu trong biên độ tuần và phù hợp với biên độ sàn 7%.</w:t>
      </w:r>
    </w:p>
    <w:p w14:paraId="69C8D659" w14:textId="531732CC" w:rsidR="00C96432" w:rsidRPr="00C96432" w:rsidRDefault="00C96432" w:rsidP="00C96432">
      <w:pPr>
        <w:rPr>
          <w:rFonts w:eastAsiaTheme="minorHAnsi"/>
          <w:lang w:eastAsia="en-US"/>
        </w:rPr>
      </w:pPr>
      <w:r w:rsidRPr="00C96432">
        <w:rPr>
          <w:rFonts w:eastAsiaTheme="minorHAnsi"/>
          <w:lang w:eastAsia="en-US"/>
        </w:rPr>
        <w:t>Rủi ro được đo lường qua độ phân tán của các mẫu. Độ lệch chuẩn của giá đóng cửa ngày thứ năm là proxy cho mức độ bất định. Phân vị 5% của phân phối mẫu cho ước lượng Value‑at‑Risk (VaR 5%), trong khi phân vị 95% cung cấp cận trên lạc quan. Khoảng cách giữa hai phân vị này – độ rộng dải tin cậy – càng lớn thì mức độ rủi ro càng cao.</w:t>
      </w:r>
    </w:p>
    <w:p w14:paraId="2878667D" w14:textId="1F4FBA65" w:rsidR="00A8491D" w:rsidRDefault="00C96432" w:rsidP="00C96432">
      <w:pPr>
        <w:rPr>
          <w:rFonts w:eastAsiaTheme="minorHAnsi"/>
          <w:lang w:eastAsia="en-US"/>
        </w:rPr>
      </w:pPr>
      <w:r w:rsidRPr="00C96432">
        <w:rPr>
          <w:rFonts w:eastAsiaTheme="minorHAnsi"/>
          <w:lang w:eastAsia="en-US"/>
        </w:rPr>
        <w:t>Cuối cùng, để giải thích hành vi mô hình (XAI), tần suất xuất hiện của từng token S1 trong các cửa sổ dẫn đến pha tăng mạnh được thống kê. Các token có tần suất vượt trội được diễn giải như những “từ khóa” đặc trưng cho trạng thái tích lũy hoặc bứt phá của thị trường, cung cấp một góc nhìn minh bạch dựa trên chính từ vựng rời rạc của mô hình.</w:t>
      </w:r>
    </w:p>
    <w:p w14:paraId="50AE7BA6" w14:textId="77777777" w:rsidR="00A8491D" w:rsidRDefault="00A8491D">
      <w:pPr>
        <w:spacing w:line="276" w:lineRule="auto"/>
        <w:jc w:val="left"/>
        <w:rPr>
          <w:rFonts w:eastAsiaTheme="minorHAnsi"/>
          <w:lang w:eastAsia="en-US"/>
        </w:rPr>
      </w:pPr>
      <w:r>
        <w:rPr>
          <w:rFonts w:eastAsiaTheme="minorHAnsi"/>
          <w:lang w:eastAsia="en-US"/>
        </w:rPr>
        <w:br w:type="page"/>
      </w:r>
    </w:p>
    <w:p w14:paraId="123BE869" w14:textId="3A8A7D32" w:rsidR="001445FA" w:rsidRDefault="00A8491D" w:rsidP="00A8491D">
      <w:pPr>
        <w:pStyle w:val="u1"/>
        <w:rPr>
          <w:rFonts w:eastAsiaTheme="minorHAnsi"/>
        </w:rPr>
      </w:pPr>
      <w:r>
        <w:rPr>
          <w:rFonts w:eastAsiaTheme="minorHAnsi"/>
        </w:rPr>
        <w:lastRenderedPageBreak/>
        <w:t>KẾT QUẢ THỰC NGHIỆM VÀ ĐÁNH GIÁ</w:t>
      </w:r>
    </w:p>
    <w:p w14:paraId="6F46AC5E" w14:textId="27627378" w:rsidR="00A8491D" w:rsidRDefault="00A8491D" w:rsidP="00A8491D">
      <w:pPr>
        <w:pStyle w:val="u2"/>
      </w:pPr>
      <w:r>
        <w:t>Kết quả phân tích, khám phá dữ liệu (EDA)</w:t>
      </w:r>
    </w:p>
    <w:p w14:paraId="18AB4540" w14:textId="66E41D81" w:rsidR="006C2BC2" w:rsidRPr="006C2BC2" w:rsidRDefault="006C2BC2" w:rsidP="006C2BC2">
      <w:pPr>
        <w:pStyle w:val="Content"/>
      </w:pPr>
      <w:r>
        <w:t>Thực hiện phân tích dữ liệu để hiểu rõ bài toán và quyết định các phương pháp tiền xử lý</w:t>
      </w:r>
    </w:p>
    <w:p w14:paraId="43CEA4F9" w14:textId="77777777" w:rsidR="006C2BC2" w:rsidRDefault="006C2BC2" w:rsidP="006C2BC2">
      <w:pPr>
        <w:pStyle w:val="Content"/>
        <w:keepNext/>
      </w:pPr>
      <w:r>
        <w:drawing>
          <wp:inline distT="0" distB="0" distL="0" distR="0" wp14:anchorId="624EAD24" wp14:editId="4E3FBAFA">
            <wp:extent cx="5902036" cy="3117565"/>
            <wp:effectExtent l="0" t="0" r="3810" b="6985"/>
            <wp:docPr id="15415498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125" cy="3135043"/>
                    </a:xfrm>
                    <a:prstGeom prst="rect">
                      <a:avLst/>
                    </a:prstGeom>
                    <a:noFill/>
                    <a:ln>
                      <a:noFill/>
                    </a:ln>
                  </pic:spPr>
                </pic:pic>
              </a:graphicData>
            </a:graphic>
          </wp:inline>
        </w:drawing>
      </w:r>
    </w:p>
    <w:p w14:paraId="4FE60F29" w14:textId="5870C2EC" w:rsidR="00EC7259" w:rsidRDefault="006C2BC2" w:rsidP="006C2BC2">
      <w:pPr>
        <w:pStyle w:val="Chuthich"/>
        <w:jc w:val="both"/>
      </w:pPr>
      <w:r>
        <w:t xml:space="preserve">Hình </w:t>
      </w:r>
      <w:r w:rsidR="00434700">
        <w:fldChar w:fldCharType="begin"/>
      </w:r>
      <w:r w:rsidR="00434700">
        <w:instrText xml:space="preserve"> STYLEREF 1 \s </w:instrText>
      </w:r>
      <w:r w:rsidR="00434700">
        <w:fldChar w:fldCharType="separate"/>
      </w:r>
      <w:r w:rsidR="00434700">
        <w:t>3</w:t>
      </w:r>
      <w:r w:rsidR="00434700">
        <w:fldChar w:fldCharType="end"/>
      </w:r>
      <w:r w:rsidR="00434700">
        <w:noBreakHyphen/>
      </w:r>
      <w:r w:rsidR="00434700">
        <w:fldChar w:fldCharType="begin"/>
      </w:r>
      <w:r w:rsidR="00434700">
        <w:instrText xml:space="preserve"> SEQ Hình \* ARABIC \s 1 </w:instrText>
      </w:r>
      <w:r w:rsidR="00434700">
        <w:fldChar w:fldCharType="separate"/>
      </w:r>
      <w:r w:rsidR="00434700">
        <w:t>1</w:t>
      </w:r>
      <w:r w:rsidR="00434700">
        <w:fldChar w:fldCharType="end"/>
      </w:r>
      <w:r>
        <w:t xml:space="preserve"> Một mẫu dữ liệu của cổ phiếu HPG.</w:t>
      </w:r>
    </w:p>
    <w:p w14:paraId="15AB5DF9" w14:textId="2B3B7427" w:rsidR="006C2BC2" w:rsidRDefault="006C2BC2" w:rsidP="006C2BC2">
      <w:pPr>
        <w:rPr>
          <w:lang w:eastAsia="en-US"/>
        </w:rPr>
      </w:pPr>
      <w:r>
        <w:rPr>
          <w:lang w:eastAsia="en-US"/>
        </w:rPr>
        <w:t xml:space="preserve">Biểu đồ 3-1 biểu diễn dữ liệu đầu vào của mô hình, với các nến dạng </w:t>
      </w:r>
      <w:r w:rsidRPr="006C2BC2">
        <w:rPr>
          <w:lang w:eastAsia="en-US"/>
        </w:rPr>
        <w:t>OHLC</w:t>
      </w:r>
      <w:r>
        <w:rPr>
          <w:lang w:eastAsia="en-US"/>
        </w:rPr>
        <w:t xml:space="preserve"> biểu thị từng đặc trưng: Open, High, Low, Close và cuối cùng là biểu đồ histogram biểu thị </w:t>
      </w:r>
      <w:r w:rsidR="007B44AC">
        <w:rPr>
          <w:lang w:eastAsia="en-US"/>
        </w:rPr>
        <w:t xml:space="preserve">số lượng giao dịch ở dưới. </w:t>
      </w:r>
    </w:p>
    <w:p w14:paraId="1811CDDC" w14:textId="583AE1CE" w:rsidR="007B44AC" w:rsidRDefault="007B44AC" w:rsidP="006C2BC2">
      <w:pPr>
        <w:rPr>
          <w:lang w:eastAsia="en-US"/>
        </w:rPr>
      </w:pPr>
      <w:r>
        <w:rPr>
          <w:lang w:eastAsia="en-US"/>
        </w:rPr>
        <w:t>Thấy rõ tính không liên tục của dữ liệu khi mà dữ liệu đầu vào tại các ngày thứ 7 chủ nhật đang bị rỗng, đồng thời các ngày lên cũng không có lượng giao dịch nào.</w:t>
      </w:r>
    </w:p>
    <w:p w14:paraId="4826DE14" w14:textId="77777777" w:rsidR="007B44AC" w:rsidRDefault="007B44AC" w:rsidP="007B44AC">
      <w:pPr>
        <w:keepNext/>
      </w:pPr>
      <w:r w:rsidRPr="007B44AC">
        <w:rPr>
          <w:lang w:eastAsia="en-US"/>
        </w:rPr>
        <w:lastRenderedPageBreak/>
        <w:drawing>
          <wp:inline distT="0" distB="0" distL="0" distR="0" wp14:anchorId="02B353DE" wp14:editId="6C5C3BBD">
            <wp:extent cx="5271654" cy="2618975"/>
            <wp:effectExtent l="0" t="0" r="5715" b="0"/>
            <wp:docPr id="12339857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85787" name=""/>
                    <pic:cNvPicPr/>
                  </pic:nvPicPr>
                  <pic:blipFill>
                    <a:blip r:embed="rId10"/>
                    <a:stretch>
                      <a:fillRect/>
                    </a:stretch>
                  </pic:blipFill>
                  <pic:spPr>
                    <a:xfrm>
                      <a:off x="0" y="0"/>
                      <a:ext cx="5279571" cy="2622908"/>
                    </a:xfrm>
                    <a:prstGeom prst="rect">
                      <a:avLst/>
                    </a:prstGeom>
                  </pic:spPr>
                </pic:pic>
              </a:graphicData>
            </a:graphic>
          </wp:inline>
        </w:drawing>
      </w:r>
    </w:p>
    <w:p w14:paraId="165C8C41" w14:textId="36CA80ED" w:rsidR="007B44AC" w:rsidRDefault="007B44AC" w:rsidP="007B44AC">
      <w:pPr>
        <w:pStyle w:val="Chuthich"/>
        <w:jc w:val="both"/>
      </w:pPr>
      <w:r>
        <w:t xml:space="preserve">Hình </w:t>
      </w:r>
      <w:r w:rsidR="00434700">
        <w:fldChar w:fldCharType="begin"/>
      </w:r>
      <w:r w:rsidR="00434700">
        <w:instrText xml:space="preserve"> STYLEREF 1 \s </w:instrText>
      </w:r>
      <w:r w:rsidR="00434700">
        <w:fldChar w:fldCharType="separate"/>
      </w:r>
      <w:r w:rsidR="00434700">
        <w:t>3</w:t>
      </w:r>
      <w:r w:rsidR="00434700">
        <w:fldChar w:fldCharType="end"/>
      </w:r>
      <w:r w:rsidR="00434700">
        <w:noBreakHyphen/>
      </w:r>
      <w:r w:rsidR="00434700">
        <w:fldChar w:fldCharType="begin"/>
      </w:r>
      <w:r w:rsidR="00434700">
        <w:instrText xml:space="preserve"> SEQ Hình \* ARABIC \s 1 </w:instrText>
      </w:r>
      <w:r w:rsidR="00434700">
        <w:fldChar w:fldCharType="separate"/>
      </w:r>
      <w:r w:rsidR="00434700">
        <w:t>2</w:t>
      </w:r>
      <w:r w:rsidR="00434700">
        <w:fldChar w:fldCharType="end"/>
      </w:r>
      <w:r>
        <w:t xml:space="preserve"> Biểu đồ biến động tương đối của 6 biến trong tập dữ liệu của HPG</w:t>
      </w:r>
    </w:p>
    <w:p w14:paraId="62BEF8EB" w14:textId="78783761" w:rsidR="00B608FB" w:rsidRDefault="007B44AC" w:rsidP="00B608FB">
      <w:pPr>
        <w:rPr>
          <w:lang w:eastAsia="en-US"/>
        </w:rPr>
      </w:pPr>
      <w:r>
        <w:rPr>
          <w:lang w:eastAsia="en-US"/>
        </w:rPr>
        <w:t>Hình 3-2 được vẽ bởi cửa sổ 200 điểm dữ liệu của cổ phiếu HPG, đang được chuẩn hóa theo tỷ lệ với dữ liệu điểm đầu tiên. Biểu đồ thể hiện biến động phương sai cực lớn giữa các đặc trưng, đặc biệt là đặc trưng về số lượng giao dịch (amount) so với các nhóm còn lại</w:t>
      </w:r>
      <w:r w:rsidR="008607EE">
        <w:rPr>
          <w:lang w:eastAsia="en-US"/>
        </w:rPr>
        <w:t xml:space="preserve"> b</w:t>
      </w:r>
      <w:r w:rsidR="008607EE" w:rsidRPr="008607EE">
        <w:rPr>
          <w:lang w:eastAsia="en-US"/>
        </w:rPr>
        <w:t>ắt buộc sử dụng Z-score cục bộ theo từng đặc trưng riêng biệt (feature-wise local normalization).</w:t>
      </w:r>
      <w:r>
        <w:rPr>
          <w:lang w:eastAsia="en-US"/>
        </w:rPr>
        <w:t xml:space="preserve">. </w:t>
      </w:r>
      <w:r w:rsidR="00B608FB" w:rsidRPr="00B608FB">
        <w:t xml:space="preserve">Nhóm giá trong phân đoạn 200 phiên này có xu hướng đi ngang (Sideways) và kéo về mức trung bình quanh 1.0 (Mean-reverting). </w:t>
      </w:r>
    </w:p>
    <w:p w14:paraId="6FF9471C" w14:textId="77777777" w:rsidR="00B608FB" w:rsidRDefault="00B608FB" w:rsidP="00B608FB">
      <w:pPr>
        <w:keepNext/>
      </w:pPr>
      <w:r w:rsidRPr="00B608FB">
        <w:drawing>
          <wp:inline distT="0" distB="0" distL="0" distR="0" wp14:anchorId="2CABE845" wp14:editId="624259F1">
            <wp:extent cx="5195454" cy="2058825"/>
            <wp:effectExtent l="0" t="0" r="5715" b="0"/>
            <wp:docPr id="5476160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16017" name=""/>
                    <pic:cNvPicPr/>
                  </pic:nvPicPr>
                  <pic:blipFill>
                    <a:blip r:embed="rId11"/>
                    <a:stretch>
                      <a:fillRect/>
                    </a:stretch>
                  </pic:blipFill>
                  <pic:spPr>
                    <a:xfrm>
                      <a:off x="0" y="0"/>
                      <a:ext cx="5214984" cy="2066564"/>
                    </a:xfrm>
                    <a:prstGeom prst="rect">
                      <a:avLst/>
                    </a:prstGeom>
                  </pic:spPr>
                </pic:pic>
              </a:graphicData>
            </a:graphic>
          </wp:inline>
        </w:drawing>
      </w:r>
    </w:p>
    <w:p w14:paraId="183C019F" w14:textId="5D229F7B" w:rsidR="00B608FB" w:rsidRPr="00B608FB" w:rsidRDefault="00B608FB" w:rsidP="00B608FB">
      <w:pPr>
        <w:pStyle w:val="Chuthich"/>
        <w:jc w:val="both"/>
        <w:rPr>
          <w:lang w:eastAsia="vi-VN"/>
        </w:rPr>
      </w:pPr>
      <w:r>
        <w:t xml:space="preserve">Hình </w:t>
      </w:r>
      <w:r w:rsidR="00434700">
        <w:fldChar w:fldCharType="begin"/>
      </w:r>
      <w:r w:rsidR="00434700">
        <w:instrText xml:space="preserve"> STYLEREF 1 \s </w:instrText>
      </w:r>
      <w:r w:rsidR="00434700">
        <w:fldChar w:fldCharType="separate"/>
      </w:r>
      <w:r w:rsidR="00434700">
        <w:t>3</w:t>
      </w:r>
      <w:r w:rsidR="00434700">
        <w:fldChar w:fldCharType="end"/>
      </w:r>
      <w:r w:rsidR="00434700">
        <w:noBreakHyphen/>
      </w:r>
      <w:r w:rsidR="00434700">
        <w:fldChar w:fldCharType="begin"/>
      </w:r>
      <w:r w:rsidR="00434700">
        <w:instrText xml:space="preserve"> SEQ Hình \* ARABIC \s 1 </w:instrText>
      </w:r>
      <w:r w:rsidR="00434700">
        <w:fldChar w:fldCharType="separate"/>
      </w:r>
      <w:r w:rsidR="00434700">
        <w:t>3</w:t>
      </w:r>
      <w:r w:rsidR="00434700">
        <w:fldChar w:fldCharType="end"/>
      </w:r>
      <w:r>
        <w:t xml:space="preserve"> Độ dài lượng dữ liệu thu thập được của từng cổ phiếu</w:t>
      </w:r>
    </w:p>
    <w:p w14:paraId="2330977E" w14:textId="4D4D2F3B" w:rsidR="007224C8" w:rsidRDefault="006C5125" w:rsidP="006C5125">
      <w:pPr>
        <w:rPr>
          <w:lang w:eastAsia="en-US"/>
        </w:rPr>
      </w:pPr>
      <w:r w:rsidRPr="006C5125">
        <w:rPr>
          <w:lang w:eastAsia="en-US"/>
        </w:rPr>
        <w:t>49/50 mã cổ phiếu có độ dài lịch sử giao dịch đồng nhất ở mức tối đa là 8 năm (dao động sát mức 8.0). Đây là tín hiệu tốt cho bài toán dự đoán chuỗi thời gian vì dữ liệu dạng bảng (Panel Data) có cấu trúc cân bằng.</w:t>
      </w:r>
      <w:r w:rsidR="007639EC">
        <w:rPr>
          <w:lang w:eastAsia="en-US"/>
        </w:rPr>
        <w:t xml:space="preserve"> Duy nhất có mã SSH là có lịch sử ngắn hơn 2 năm, lý do chính là do cổ phiếu này lên sàn muộn.</w:t>
      </w:r>
      <w:r w:rsidR="007224C8">
        <w:rPr>
          <w:lang w:eastAsia="en-US"/>
        </w:rPr>
        <w:t xml:space="preserve"> Các giá trị thiếu sẽ để thành NaN và bỏ qua, trượt sang cửa sổ khác. </w:t>
      </w:r>
      <w:r w:rsidR="008607EE">
        <w:rPr>
          <w:lang w:eastAsia="en-US"/>
        </w:rPr>
        <w:t xml:space="preserve">Đồng thời ta cần phải quan tâm tới vấn đề chia </w:t>
      </w:r>
      <w:r w:rsidR="008607EE">
        <w:rPr>
          <w:lang w:eastAsia="en-US"/>
        </w:rPr>
        <w:lastRenderedPageBreak/>
        <w:t xml:space="preserve">tập train/val/test vì </w:t>
      </w:r>
      <w:r w:rsidR="008607EE" w:rsidRPr="008607EE">
        <w:rPr>
          <w:lang w:eastAsia="en-US"/>
        </w:rPr>
        <w:t>Việc thiết kế phân tách dữ liệu Train/Val/Test theo mốc thời gian lịch chung (2023-01-01 và 2024-01-01) khiến tỷ lệ số lượng mẫu (windows) đóng góp của các mã mới niêm yết ít hơn hẳn các mã cũ.</w:t>
      </w:r>
    </w:p>
    <w:p w14:paraId="67355C60" w14:textId="11CEBA42" w:rsidR="007224C8" w:rsidRDefault="007639EC" w:rsidP="006C5125">
      <w:pPr>
        <w:rPr>
          <w:lang w:eastAsia="en-US"/>
        </w:rPr>
      </w:pPr>
      <w:r>
        <w:rPr>
          <w:lang w:eastAsia="en-US"/>
        </w:rPr>
        <w:t>Thực hiện t</w:t>
      </w:r>
      <w:r w:rsidRPr="007639EC">
        <w:rPr>
          <w:lang w:eastAsia="en-US"/>
        </w:rPr>
        <w:t>riển khai </w:t>
      </w:r>
      <w:r w:rsidRPr="007639EC">
        <w:rPr>
          <w:b/>
          <w:bCs/>
          <w:lang w:eastAsia="en-US"/>
        </w:rPr>
        <w:t>Interleaved Multi-Stock Sampling</w:t>
      </w:r>
      <w:r w:rsidRPr="007639EC">
        <w:rPr>
          <w:lang w:eastAsia="en-US"/>
        </w:rPr>
        <w:t> trong DataLoader. Mỗi index của batch sẽ chọn ngẫu nhiên một mã, sau đó trích xuất cửa sổ trượt (</w:t>
      </w:r>
      <m:oMath>
        <m:r>
          <w:rPr>
            <w:rFonts w:ascii="Cambria Math" w:hAnsi="Cambria Math"/>
            <w:lang w:eastAsia="en-US"/>
          </w:rPr>
          <m:t>126+5</m:t>
        </m:r>
      </m:oMath>
      <w:r w:rsidRPr="007639EC">
        <w:rPr>
          <w:lang w:eastAsia="en-US"/>
        </w:rPr>
        <w:t> phiên) bên trong mã đó. Điều này loại bỏ hoàn toàn lỗi rò rỉ ranh giới (stock boundary crossing) khi ghép nối dữ liệu.</w:t>
      </w:r>
    </w:p>
    <w:p w14:paraId="2DFA51D5" w14:textId="25ADA3F1" w:rsidR="007224C8" w:rsidRDefault="007224C8" w:rsidP="006C5125">
      <w:pPr>
        <w:rPr>
          <w:lang w:eastAsia="en-US"/>
        </w:rPr>
      </w:pPr>
      <w:r>
        <w:rPr>
          <w:lang w:eastAsia="en-US"/>
        </w:rPr>
        <w:t>X</w:t>
      </w:r>
      <w:r w:rsidRPr="007224C8">
        <w:rPr>
          <w:lang w:eastAsia="en-US"/>
        </w:rPr>
        <w:t>ác định chuỗi giá Adjusted Close (Giá đóng cửa đã điều chỉnh) đã được xử lý đúng chuẩn toán học chưa. Nếu chưa điều chỉnh, tại các ngày giao dịch không hưởng quyền (chia tách, phát hành thêm, trả cổ tức bằng cổ phiếu), đồ thị sẽ xuất hiện các đường sụt giảm thẳng đứng (gap down) rất lớn, gây nhiễu nghiêm trọng cho hàm loss của các mô hình chuỗi thời gian (Time-series models).</w:t>
      </w:r>
    </w:p>
    <w:p w14:paraId="55631CDA" w14:textId="77777777" w:rsidR="007224C8" w:rsidRDefault="007224C8" w:rsidP="007224C8">
      <w:pPr>
        <w:keepNext/>
      </w:pPr>
      <w:r w:rsidRPr="007224C8">
        <w:rPr>
          <w:lang w:eastAsia="en-US"/>
        </w:rPr>
        <w:drawing>
          <wp:inline distT="0" distB="0" distL="0" distR="0" wp14:anchorId="6BF7E58B" wp14:editId="529FF9C6">
            <wp:extent cx="5760720" cy="3276600"/>
            <wp:effectExtent l="0" t="0" r="0" b="0"/>
            <wp:docPr id="14054371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37185" name=""/>
                    <pic:cNvPicPr/>
                  </pic:nvPicPr>
                  <pic:blipFill>
                    <a:blip r:embed="rId12"/>
                    <a:stretch>
                      <a:fillRect/>
                    </a:stretch>
                  </pic:blipFill>
                  <pic:spPr>
                    <a:xfrm>
                      <a:off x="0" y="0"/>
                      <a:ext cx="5760720" cy="3276600"/>
                    </a:xfrm>
                    <a:prstGeom prst="rect">
                      <a:avLst/>
                    </a:prstGeom>
                  </pic:spPr>
                </pic:pic>
              </a:graphicData>
            </a:graphic>
          </wp:inline>
        </w:drawing>
      </w:r>
    </w:p>
    <w:p w14:paraId="20EE6A06" w14:textId="1D97F1A8" w:rsidR="007224C8" w:rsidRDefault="007224C8" w:rsidP="007224C8">
      <w:pPr>
        <w:pStyle w:val="Chuthich"/>
        <w:jc w:val="both"/>
      </w:pPr>
      <w:r>
        <w:t xml:space="preserve">Hình </w:t>
      </w:r>
      <w:r w:rsidR="00434700">
        <w:fldChar w:fldCharType="begin"/>
      </w:r>
      <w:r w:rsidR="00434700">
        <w:instrText xml:space="preserve"> STYLEREF 1 \s </w:instrText>
      </w:r>
      <w:r w:rsidR="00434700">
        <w:fldChar w:fldCharType="separate"/>
      </w:r>
      <w:r w:rsidR="00434700">
        <w:t>3</w:t>
      </w:r>
      <w:r w:rsidR="00434700">
        <w:fldChar w:fldCharType="end"/>
      </w:r>
      <w:r w:rsidR="00434700">
        <w:noBreakHyphen/>
      </w:r>
      <w:r w:rsidR="00434700">
        <w:fldChar w:fldCharType="begin"/>
      </w:r>
      <w:r w:rsidR="00434700">
        <w:instrText xml:space="preserve"> SEQ Hình \* ARABIC \s 1 </w:instrText>
      </w:r>
      <w:r w:rsidR="00434700">
        <w:fldChar w:fldCharType="separate"/>
      </w:r>
      <w:r w:rsidR="00434700">
        <w:t>4</w:t>
      </w:r>
      <w:r w:rsidR="00434700">
        <w:fldChar w:fldCharType="end"/>
      </w:r>
      <w:r>
        <w:t xml:space="preserve"> Biểu đồ chuỗi giá điều chỉnh của 2 mẫu dữ liệu của FPT và HPG</w:t>
      </w:r>
    </w:p>
    <w:p w14:paraId="7BD39E83" w14:textId="3F00CEBB" w:rsidR="007224C8" w:rsidRDefault="007224C8" w:rsidP="007224C8">
      <w:pPr>
        <w:rPr>
          <w:lang w:eastAsia="en-US"/>
        </w:rPr>
      </w:pPr>
      <w:r w:rsidRPr="007224C8">
        <w:rPr>
          <w:lang w:eastAsia="en-US"/>
        </w:rPr>
        <w:t>FPT là mã có tần suất chia cổ tức bằng cổ phiếu và cổ phiếu thưởng rất đều đặn, thường vào khoảng quý 2 hàng năm (khoảng tháng 5 - tháng 6 của các năm 2021, 2022, 2023, 2024).</w:t>
      </w:r>
      <w:r>
        <w:rPr>
          <w:lang w:eastAsia="en-US"/>
        </w:rPr>
        <w:t xml:space="preserve"> </w:t>
      </w:r>
      <w:r w:rsidRPr="007224C8">
        <w:rPr>
          <w:lang w:eastAsia="en-US"/>
        </w:rPr>
        <w:t xml:space="preserve">Tại các phân đoạn nhạy cảm (giữa các năm), đồ thị không hề xuất hiện bất kỳ đường đứt gãy hoặc bước nhảy nhảy cóc (discrete steps) mang tính cơ học nào. Pha điều chỉnh từ đỉnh năm 2025 kéo dài sang năm 2026 diễn ra theo cấu trúc sóng thị trường </w:t>
      </w:r>
      <w:r w:rsidRPr="007224C8">
        <w:rPr>
          <w:lang w:eastAsia="en-US"/>
        </w:rPr>
        <w:lastRenderedPageBreak/>
        <w:t>(nhiều phiên giảm đan xen phục hồi kỹ thuật), không phải sụt giảm do kỹ thuật chia tách.</w:t>
      </w:r>
    </w:p>
    <w:p w14:paraId="6AB5E61E" w14:textId="22B66614" w:rsidR="007224C8" w:rsidRPr="007224C8" w:rsidRDefault="007224C8" w:rsidP="007224C8">
      <w:pPr>
        <w:rPr>
          <w:lang w:eastAsia="en-US"/>
        </w:rPr>
      </w:pPr>
      <w:r w:rsidRPr="007224C8">
        <w:rPr>
          <w:lang w:eastAsia="en-US"/>
        </w:rPr>
        <w:t>HPG nổi tiếng với các đợt chi trả cổ tức bằng cổ phiếu tỷ lệ lớn (ví dụ: đợt chia tỷ lệ 35% năm 2021, 30% năm 2022). Nếu không điều chỉnh giá, đồ thị HPG tại các điểm này sẽ bị sụt giảm ngay lập tức từ 25-30% giá trị chỉ sau một phiên.</w:t>
      </w:r>
      <w:r>
        <w:rPr>
          <w:lang w:eastAsia="en-US"/>
        </w:rPr>
        <w:t xml:space="preserve"> </w:t>
      </w:r>
      <w:r w:rsidRPr="007224C8">
        <w:rPr>
          <w:lang w:eastAsia="en-US"/>
        </w:rPr>
        <w:t>Dữ liệu HPG hoàn toàn trơn tru về mặt toán học, các tác động chia tách đã được cào bằng vào lịch sử quá khứ.</w:t>
      </w:r>
    </w:p>
    <w:p w14:paraId="6B1F32F1" w14:textId="77777777" w:rsidR="008607EE" w:rsidRDefault="008607EE" w:rsidP="008607EE">
      <w:pPr>
        <w:keepNext/>
      </w:pPr>
      <w:r w:rsidRPr="008607EE">
        <w:rPr>
          <w:lang w:eastAsia="en-US"/>
        </w:rPr>
        <w:drawing>
          <wp:inline distT="0" distB="0" distL="0" distR="0" wp14:anchorId="2683F7C5" wp14:editId="3ACE0224">
            <wp:extent cx="5760720" cy="3589020"/>
            <wp:effectExtent l="0" t="0" r="0" b="0"/>
            <wp:docPr id="15289360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36088" name=""/>
                    <pic:cNvPicPr/>
                  </pic:nvPicPr>
                  <pic:blipFill>
                    <a:blip r:embed="rId13"/>
                    <a:stretch>
                      <a:fillRect/>
                    </a:stretch>
                  </pic:blipFill>
                  <pic:spPr>
                    <a:xfrm>
                      <a:off x="0" y="0"/>
                      <a:ext cx="5760720" cy="3589020"/>
                    </a:xfrm>
                    <a:prstGeom prst="rect">
                      <a:avLst/>
                    </a:prstGeom>
                  </pic:spPr>
                </pic:pic>
              </a:graphicData>
            </a:graphic>
          </wp:inline>
        </w:drawing>
      </w:r>
    </w:p>
    <w:p w14:paraId="3FD899CD" w14:textId="35488AA8" w:rsidR="007639EC" w:rsidRDefault="008607EE" w:rsidP="008607EE">
      <w:pPr>
        <w:pStyle w:val="Chuthich"/>
        <w:jc w:val="both"/>
      </w:pPr>
      <w:r>
        <w:t xml:space="preserve">Hình </w:t>
      </w:r>
      <w:r w:rsidR="00434700">
        <w:fldChar w:fldCharType="begin"/>
      </w:r>
      <w:r w:rsidR="00434700">
        <w:instrText xml:space="preserve"> STYLEREF 1 \s </w:instrText>
      </w:r>
      <w:r w:rsidR="00434700">
        <w:fldChar w:fldCharType="separate"/>
      </w:r>
      <w:r w:rsidR="00434700">
        <w:t>3</w:t>
      </w:r>
      <w:r w:rsidR="00434700">
        <w:fldChar w:fldCharType="end"/>
      </w:r>
      <w:r w:rsidR="00434700">
        <w:noBreakHyphen/>
      </w:r>
      <w:r w:rsidR="00434700">
        <w:fldChar w:fldCharType="begin"/>
      </w:r>
      <w:r w:rsidR="00434700">
        <w:instrText xml:space="preserve"> SEQ Hình \* ARABIC \s 1 </w:instrText>
      </w:r>
      <w:r w:rsidR="00434700">
        <w:fldChar w:fldCharType="separate"/>
      </w:r>
      <w:r w:rsidR="00434700">
        <w:t>5</w:t>
      </w:r>
      <w:r w:rsidR="00434700">
        <w:fldChar w:fldCharType="end"/>
      </w:r>
      <w:r>
        <w:t xml:space="preserve"> Biểu đồ điểm trống dữ liệu giao dịch</w:t>
      </w:r>
    </w:p>
    <w:p w14:paraId="70D8ECA4" w14:textId="2529DEF7" w:rsidR="008607EE" w:rsidRDefault="008607EE" w:rsidP="008607EE">
      <w:pPr>
        <w:rPr>
          <w:lang w:eastAsia="en-US"/>
        </w:rPr>
      </w:pPr>
      <w:r>
        <w:rPr>
          <w:lang w:eastAsia="en-US"/>
        </w:rPr>
        <w:t>Biểu đồ 3-5 biểu thị mức độ trống giao dịch của một vài cổ phiếu ta cần phải xử lý các giá trị khuyết thiếu này. P</w:t>
      </w:r>
      <w:r w:rsidRPr="008607EE">
        <w:rPr>
          <w:lang w:eastAsia="en-US"/>
        </w:rPr>
        <w:t>hát hiện các chu kỳ đi ngang kéo dài liên tiếp 6-7 ngày ở một số mã (BCM, GVR, SAB, SHB, SSB).</w:t>
      </w:r>
      <w:r>
        <w:rPr>
          <w:lang w:eastAsia="en-US"/>
        </w:rPr>
        <w:t xml:space="preserve"> Biểu đồ này giúp x</w:t>
      </w:r>
      <w:r w:rsidRPr="008607EE">
        <w:rPr>
          <w:lang w:eastAsia="en-US"/>
        </w:rPr>
        <w:t>ác định sự tồn tại của các khoảng trống giao dịch. DataLoader phải xử lý bằng cách: (1) Chỉ sử dụng Forward-fill (ffill) để tránh rò rỉ dữ liệu tương lai, (2) Cộng epsilon (</w:t>
      </w:r>
      <m:oMath>
        <m:r>
          <w:rPr>
            <w:rFonts w:ascii="Cambria Math" w:hAnsi="Cambria Math"/>
            <w:lang w:eastAsia="en-US"/>
          </w:rPr>
          <m:t>ϵ=1e-5</m:t>
        </m:r>
      </m:oMath>
      <w:r w:rsidRPr="008607EE">
        <w:rPr>
          <w:lang w:eastAsia="en-US"/>
        </w:rPr>
        <w:t>) vào mẫu số khi tính độ lệch chuẩn cục bộ: </w:t>
      </w:r>
      <m:oMath>
        <m:r>
          <w:rPr>
            <w:rFonts w:ascii="Cambria Math" w:hAnsi="Cambria Math"/>
            <w:lang w:eastAsia="en-US"/>
          </w:rPr>
          <m:t>Z=(X-μ)</m:t>
        </m:r>
        <m:r>
          <m:rPr>
            <m:sty m:val="p"/>
          </m:rPr>
          <w:rPr>
            <w:rFonts w:ascii="Cambria Math" w:hAnsi="Cambria Math"/>
            <w:lang w:eastAsia="en-US"/>
          </w:rPr>
          <m:t>/</m:t>
        </m:r>
        <m:r>
          <w:rPr>
            <w:rFonts w:ascii="Cambria Math" w:hAnsi="Cambria Math"/>
            <w:lang w:eastAsia="en-US"/>
          </w:rPr>
          <m:t>(σ+1e-5)</m:t>
        </m:r>
      </m:oMath>
      <w:r w:rsidRPr="008607EE">
        <w:rPr>
          <w:lang w:eastAsia="en-US"/>
        </w:rPr>
        <w:t> để tránh lỗi chia cho 0 (NaN/Inf) khi cổ phiếu bị đóng băng thanh khoản (</w:t>
      </w:r>
      <m:oMath>
        <m:r>
          <w:rPr>
            <w:rFonts w:ascii="Cambria Math" w:hAnsi="Cambria Math"/>
            <w:lang w:eastAsia="en-US"/>
          </w:rPr>
          <m:t>σ=0</m:t>
        </m:r>
      </m:oMath>
      <w:r w:rsidRPr="008607EE">
        <w:rPr>
          <w:lang w:eastAsia="en-US"/>
        </w:rPr>
        <w:t>).</w:t>
      </w:r>
    </w:p>
    <w:p w14:paraId="1F5C98EA" w14:textId="77777777" w:rsidR="00B9210C" w:rsidRDefault="00B9210C" w:rsidP="00B9210C">
      <w:pPr>
        <w:keepNext/>
      </w:pPr>
      <w:r w:rsidRPr="00B9210C">
        <w:rPr>
          <w:lang w:eastAsia="en-US"/>
        </w:rPr>
        <w:lastRenderedPageBreak/>
        <w:drawing>
          <wp:inline distT="0" distB="0" distL="0" distR="0" wp14:anchorId="4782EDD1" wp14:editId="15EC3E83">
            <wp:extent cx="5760720" cy="2143125"/>
            <wp:effectExtent l="0" t="0" r="0" b="9525"/>
            <wp:docPr id="9307495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49556" name=""/>
                    <pic:cNvPicPr/>
                  </pic:nvPicPr>
                  <pic:blipFill>
                    <a:blip r:embed="rId14"/>
                    <a:stretch>
                      <a:fillRect/>
                    </a:stretch>
                  </pic:blipFill>
                  <pic:spPr>
                    <a:xfrm>
                      <a:off x="0" y="0"/>
                      <a:ext cx="5760720" cy="2143125"/>
                    </a:xfrm>
                    <a:prstGeom prst="rect">
                      <a:avLst/>
                    </a:prstGeom>
                  </pic:spPr>
                </pic:pic>
              </a:graphicData>
            </a:graphic>
          </wp:inline>
        </w:drawing>
      </w:r>
    </w:p>
    <w:p w14:paraId="0BDEED13" w14:textId="7C4F0A2F" w:rsidR="00B9210C" w:rsidRDefault="00B9210C" w:rsidP="00B9210C">
      <w:pPr>
        <w:pStyle w:val="Chuthich"/>
        <w:jc w:val="both"/>
      </w:pPr>
      <w:r>
        <w:t xml:space="preserve">Hình </w:t>
      </w:r>
      <w:r w:rsidR="00434700">
        <w:fldChar w:fldCharType="begin"/>
      </w:r>
      <w:r w:rsidR="00434700">
        <w:instrText xml:space="preserve"> STYLEREF 1 \s </w:instrText>
      </w:r>
      <w:r w:rsidR="00434700">
        <w:fldChar w:fldCharType="separate"/>
      </w:r>
      <w:r w:rsidR="00434700">
        <w:t>3</w:t>
      </w:r>
      <w:r w:rsidR="00434700">
        <w:fldChar w:fldCharType="end"/>
      </w:r>
      <w:r w:rsidR="00434700">
        <w:noBreakHyphen/>
      </w:r>
      <w:r w:rsidR="00434700">
        <w:fldChar w:fldCharType="begin"/>
      </w:r>
      <w:r w:rsidR="00434700">
        <w:instrText xml:space="preserve"> SEQ Hình \* ARABIC \s 1 </w:instrText>
      </w:r>
      <w:r w:rsidR="00434700">
        <w:fldChar w:fldCharType="separate"/>
      </w:r>
      <w:r w:rsidR="00434700">
        <w:t>6</w:t>
      </w:r>
      <w:r w:rsidR="00434700">
        <w:fldChar w:fldCharType="end"/>
      </w:r>
      <w:r>
        <w:t xml:space="preserve"> </w:t>
      </w:r>
      <w:r w:rsidRPr="000D411C">
        <w:t>Phân phối lợi suất nhóm HOSE vs HNX (PVS) &amp; Biên độ giới hạn</w:t>
      </w:r>
    </w:p>
    <w:p w14:paraId="305C37AB" w14:textId="61B84AC6" w:rsidR="00B9210C" w:rsidRDefault="00B9210C" w:rsidP="00B9210C">
      <w:pPr>
        <w:rPr>
          <w:lang w:eastAsia="en-US"/>
        </w:rPr>
      </w:pPr>
      <w:r>
        <w:rPr>
          <w:lang w:eastAsia="en-US"/>
        </w:rPr>
        <w:t xml:space="preserve">Hình 3-6 </w:t>
      </w:r>
      <w:r w:rsidRPr="00B9210C">
        <w:rPr>
          <w:lang w:eastAsia="en-US"/>
        </w:rPr>
        <w:t>Kiểm tra ảnh hưởng của giới hạn biên độ trần/sàn pháp lý (+/-7% ở HOSE, +/-10% ở HNX) lên phân phối lợi suất.</w:t>
      </w:r>
      <w:r>
        <w:rPr>
          <w:lang w:eastAsia="en-US"/>
        </w:rPr>
        <w:t xml:space="preserve"> </w:t>
      </w:r>
      <w:r w:rsidRPr="00B9210C">
        <w:rPr>
          <w:lang w:eastAsia="en-US"/>
        </w:rPr>
        <w:t>Phân phối lợi suất bị cắt cụt đột ngột (censored</w:t>
      </w:r>
      <w:r w:rsidRPr="00B9210C">
        <w:rPr>
          <w:b/>
          <w:bCs/>
          <w:lang w:eastAsia="en-US"/>
        </w:rPr>
        <w:t>)</w:t>
      </w:r>
      <w:r w:rsidRPr="00B9210C">
        <w:rPr>
          <w:lang w:eastAsia="en-US"/>
        </w:rPr>
        <w:t> tại ngưỡng </w:t>
      </w:r>
      <m:oMath>
        <m:r>
          <w:rPr>
            <w:rFonts w:ascii="Cambria Math" w:hAnsi="Cambria Math"/>
            <w:lang w:eastAsia="en-US"/>
          </w:rPr>
          <m:t>±7</m:t>
        </m:r>
        <m:r>
          <m:rPr>
            <m:sty m:val="p"/>
          </m:rPr>
          <w:rPr>
            <w:rFonts w:ascii="Cambria Math" w:hAnsi="Cambria Math"/>
            <w:lang w:eastAsia="en-US"/>
          </w:rPr>
          <m:t>%</m:t>
        </m:r>
      </m:oMath>
      <w:r w:rsidRPr="00B9210C">
        <w:rPr>
          <w:lang w:eastAsia="en-US"/>
        </w:rPr>
        <w:t> đối với các cổ phiếu HOSE và </w:t>
      </w:r>
      <m:oMath>
        <m:r>
          <w:rPr>
            <w:rFonts w:ascii="Cambria Math" w:hAnsi="Cambria Math"/>
            <w:lang w:eastAsia="en-US"/>
          </w:rPr>
          <m:t>±10</m:t>
        </m:r>
        <m:r>
          <m:rPr>
            <m:sty m:val="p"/>
          </m:rPr>
          <w:rPr>
            <w:rFonts w:ascii="Cambria Math" w:hAnsi="Cambria Math"/>
            <w:lang w:eastAsia="en-US"/>
          </w:rPr>
          <m:t>%</m:t>
        </m:r>
      </m:oMath>
      <w:r w:rsidRPr="00B9210C">
        <w:rPr>
          <w:lang w:eastAsia="en-US"/>
        </w:rPr>
        <w:t> đối với PVS (HNX). Có hiện tượng tích tụ mật độ rất cao ngay tại sát các đường biên.</w:t>
      </w:r>
      <w:r>
        <w:rPr>
          <w:lang w:eastAsia="en-US"/>
        </w:rPr>
        <w:t xml:space="preserve"> </w:t>
      </w:r>
      <w:r w:rsidRPr="00B9210C">
        <w:rPr>
          <w:lang w:eastAsia="en-US"/>
        </w:rPr>
        <w:t>Chứng minh sự bất khả thi của các mô hình hồi quy giả định phân phối chuẩn thông thường. Rất phù hợp với thiết kế lượng tử hóa BSQ của Kronos. BSQ chuyển đổi các vùng biên cắt cụt phi tuyến này thành các token nhị phân rời rạc cụ thể, giúp Predictor dễ dàng học được các trạng thái "kịch trần/kịch sàn" vốn mang tâm lý thị trường cực đoan.</w:t>
      </w:r>
    </w:p>
    <w:p w14:paraId="59C3C057" w14:textId="171F78B9" w:rsidR="0064305F" w:rsidRDefault="0064305F" w:rsidP="00B9210C">
      <w:pPr>
        <w:rPr>
          <w:lang w:eastAsia="en-US"/>
        </w:rPr>
      </w:pPr>
      <w:r>
        <w:rPr>
          <w:lang w:eastAsia="en-US"/>
        </w:rPr>
        <w:t>Tiếp theo, cần k</w:t>
      </w:r>
      <w:r w:rsidRPr="0064305F">
        <w:rPr>
          <w:lang w:eastAsia="en-US"/>
        </w:rPr>
        <w:t>iểm định thống kê xem lợi suất có hiện tượng đuôi béo (Fat Tails) và độ nhọn cực đoan (Excess Kurtosis) hay không.</w:t>
      </w:r>
    </w:p>
    <w:p w14:paraId="1DED9A75" w14:textId="61A9282E" w:rsidR="0064305F" w:rsidRPr="0064305F" w:rsidRDefault="0064305F" w:rsidP="0064305F">
      <w:pPr>
        <w:rPr>
          <w:lang w:eastAsia="en-US"/>
        </w:rPr>
      </w:pPr>
      <w:r>
        <w:rPr>
          <w:lang w:eastAsia="en-US"/>
        </w:rPr>
        <w:t>Có thể thấy được hình 3-7 cho thấy một phân phối đuôi béo, h</w:t>
      </w:r>
      <w:r w:rsidRPr="0064305F">
        <w:rPr>
          <w:lang w:eastAsia="en-US"/>
        </w:rPr>
        <w:t>ai đầu đuôi của đồ thị Q-Q uốn cong và lệch mạnh khỏi đường thẳng diagonal lý thuyết. Chỉ số Excess Kurtosis của HPG đạt 2.007.</w:t>
      </w:r>
      <w:r>
        <w:rPr>
          <w:lang w:eastAsia="en-US"/>
        </w:rPr>
        <w:t xml:space="preserve"> </w:t>
      </w:r>
      <w:r w:rsidR="008F09AA" w:rsidRPr="008F09AA">
        <w:rPr>
          <w:lang w:eastAsia="en-US"/>
        </w:rPr>
        <w:t>Phân phối đuôi béo xác nhận các biến động cực đoan xuất hiện nhiều hơn. Nếu không giới hạn clipping, một cú đột biến quá lớn sẽ kéo lệch toàn bộ giá trị trung bình và độ lệch chuẩn cục bộ của cửa sổ 126 phiên, làm phẳng các tín hiệu nhỏ xung quanh. Ngưỡng </w:t>
      </w:r>
      <m:oMath>
        <m:r>
          <w:rPr>
            <w:rFonts w:ascii="Cambria Math" w:hAnsi="Cambria Math"/>
            <w:lang w:eastAsia="en-US"/>
          </w:rPr>
          <m:t>±5σ</m:t>
        </m:r>
      </m:oMath>
      <w:r w:rsidR="008F09AA" w:rsidRPr="008F09AA">
        <w:rPr>
          <w:lang w:eastAsia="en-US"/>
        </w:rPr>
        <w:t> bảo vệ mô hình khỏi các ngoại lai cực đoan này.</w:t>
      </w:r>
    </w:p>
    <w:p w14:paraId="7E1F04E4" w14:textId="3F4B41FC" w:rsidR="0064305F" w:rsidRPr="00B9210C" w:rsidRDefault="0064305F" w:rsidP="00B9210C">
      <w:pPr>
        <w:rPr>
          <w:lang w:eastAsia="en-US"/>
        </w:rPr>
      </w:pPr>
    </w:p>
    <w:p w14:paraId="0B886A3D" w14:textId="77777777" w:rsidR="008F09AA" w:rsidRDefault="0064305F" w:rsidP="008F09AA">
      <w:pPr>
        <w:keepNext/>
      </w:pPr>
      <w:r w:rsidRPr="0064305F">
        <w:rPr>
          <w:lang w:eastAsia="en-US"/>
        </w:rPr>
        <w:lastRenderedPageBreak/>
        <w:drawing>
          <wp:inline distT="0" distB="0" distL="0" distR="0" wp14:anchorId="5EBC708C" wp14:editId="3F248800">
            <wp:extent cx="3886200" cy="3886200"/>
            <wp:effectExtent l="0" t="0" r="0" b="0"/>
            <wp:docPr id="19962241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24187" name=""/>
                    <pic:cNvPicPr/>
                  </pic:nvPicPr>
                  <pic:blipFill>
                    <a:blip r:embed="rId15"/>
                    <a:stretch>
                      <a:fillRect/>
                    </a:stretch>
                  </pic:blipFill>
                  <pic:spPr>
                    <a:xfrm>
                      <a:off x="0" y="0"/>
                      <a:ext cx="3889654" cy="3889654"/>
                    </a:xfrm>
                    <a:prstGeom prst="rect">
                      <a:avLst/>
                    </a:prstGeom>
                  </pic:spPr>
                </pic:pic>
              </a:graphicData>
            </a:graphic>
          </wp:inline>
        </w:drawing>
      </w:r>
    </w:p>
    <w:p w14:paraId="61D02D1A" w14:textId="74826D12" w:rsidR="00B9210C" w:rsidRDefault="008F09AA" w:rsidP="008F09AA">
      <w:pPr>
        <w:pStyle w:val="Chuthich"/>
        <w:jc w:val="both"/>
      </w:pPr>
      <w:r>
        <w:t xml:space="preserve">Hình </w:t>
      </w:r>
      <w:r w:rsidR="00434700">
        <w:fldChar w:fldCharType="begin"/>
      </w:r>
      <w:r w:rsidR="00434700">
        <w:instrText xml:space="preserve"> STYLEREF 1 \s </w:instrText>
      </w:r>
      <w:r w:rsidR="00434700">
        <w:fldChar w:fldCharType="separate"/>
      </w:r>
      <w:r w:rsidR="00434700">
        <w:t>3</w:t>
      </w:r>
      <w:r w:rsidR="00434700">
        <w:fldChar w:fldCharType="end"/>
      </w:r>
      <w:r w:rsidR="00434700">
        <w:noBreakHyphen/>
      </w:r>
      <w:r w:rsidR="00434700">
        <w:fldChar w:fldCharType="begin"/>
      </w:r>
      <w:r w:rsidR="00434700">
        <w:instrText xml:space="preserve"> SEQ Hình \* ARABIC \s 1 </w:instrText>
      </w:r>
      <w:r w:rsidR="00434700">
        <w:fldChar w:fldCharType="separate"/>
      </w:r>
      <w:r w:rsidR="00434700">
        <w:t>7</w:t>
      </w:r>
      <w:r w:rsidR="00434700">
        <w:fldChar w:fldCharType="end"/>
      </w:r>
      <w:r>
        <w:t xml:space="preserve"> </w:t>
      </w:r>
      <w:r w:rsidRPr="00622A37">
        <w:t>Q-Q Plot lợi suất HPG vs Phân phối chuẩn lý thuyết</w:t>
      </w:r>
    </w:p>
    <w:p w14:paraId="6CAC76B8" w14:textId="090604D4" w:rsidR="008F09AA" w:rsidRPr="008F09AA" w:rsidRDefault="008F09AA" w:rsidP="008F09AA">
      <w:r>
        <w:rPr>
          <w:lang w:eastAsia="en-US"/>
        </w:rPr>
        <w:t>T</w:t>
      </w:r>
      <w:r w:rsidRPr="008F09AA">
        <w:rPr>
          <w:lang w:eastAsia="en-US"/>
        </w:rPr>
        <w:t xml:space="preserve">iếp theo ta cần phải phân tích về </w:t>
      </w:r>
      <w:r w:rsidRPr="008F09AA">
        <w:t>Biến động lợi suất tuyệt đối và Rolling Volatility của VCB</w:t>
      </w:r>
      <w:r>
        <w:t xml:space="preserve"> với mục đính chính là k</w:t>
      </w:r>
      <w:r w:rsidRPr="008F09AA">
        <w:t>iểm chứng hiện tượng tự tương quan của biến động (Volatility Clustering) theo thời gian.</w:t>
      </w:r>
    </w:p>
    <w:p w14:paraId="5AD0BAB3" w14:textId="77777777" w:rsidR="008F09AA" w:rsidRDefault="008F09AA" w:rsidP="008F09AA">
      <w:pPr>
        <w:keepNext/>
      </w:pPr>
      <w:r w:rsidRPr="008F09AA">
        <w:rPr>
          <w:lang w:eastAsia="en-US"/>
        </w:rPr>
        <w:drawing>
          <wp:inline distT="0" distB="0" distL="0" distR="0" wp14:anchorId="328EF137" wp14:editId="01CDD097">
            <wp:extent cx="4682067" cy="2663080"/>
            <wp:effectExtent l="0" t="0" r="4445" b="4445"/>
            <wp:docPr id="920847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47830" name=""/>
                    <pic:cNvPicPr/>
                  </pic:nvPicPr>
                  <pic:blipFill>
                    <a:blip r:embed="rId16"/>
                    <a:stretch>
                      <a:fillRect/>
                    </a:stretch>
                  </pic:blipFill>
                  <pic:spPr>
                    <a:xfrm>
                      <a:off x="0" y="0"/>
                      <a:ext cx="4694355" cy="2670069"/>
                    </a:xfrm>
                    <a:prstGeom prst="rect">
                      <a:avLst/>
                    </a:prstGeom>
                  </pic:spPr>
                </pic:pic>
              </a:graphicData>
            </a:graphic>
          </wp:inline>
        </w:drawing>
      </w:r>
    </w:p>
    <w:p w14:paraId="161FB9BD" w14:textId="4AAEEDB9" w:rsidR="00B9210C" w:rsidRDefault="008F09AA" w:rsidP="008F09AA">
      <w:pPr>
        <w:pStyle w:val="Chuthich"/>
        <w:jc w:val="both"/>
      </w:pPr>
      <w:r>
        <w:t xml:space="preserve">Hình </w:t>
      </w:r>
      <w:r w:rsidR="00434700">
        <w:fldChar w:fldCharType="begin"/>
      </w:r>
      <w:r w:rsidR="00434700">
        <w:instrText xml:space="preserve"> STYLEREF 1 \s </w:instrText>
      </w:r>
      <w:r w:rsidR="00434700">
        <w:fldChar w:fldCharType="separate"/>
      </w:r>
      <w:r w:rsidR="00434700">
        <w:t>3</w:t>
      </w:r>
      <w:r w:rsidR="00434700">
        <w:fldChar w:fldCharType="end"/>
      </w:r>
      <w:r w:rsidR="00434700">
        <w:noBreakHyphen/>
      </w:r>
      <w:r w:rsidR="00434700">
        <w:fldChar w:fldCharType="begin"/>
      </w:r>
      <w:r w:rsidR="00434700">
        <w:instrText xml:space="preserve"> SEQ Hình \* ARABIC \s 1 </w:instrText>
      </w:r>
      <w:r w:rsidR="00434700">
        <w:fldChar w:fldCharType="separate"/>
      </w:r>
      <w:r w:rsidR="00434700">
        <w:t>8</w:t>
      </w:r>
      <w:r w:rsidR="00434700">
        <w:fldChar w:fldCharType="end"/>
      </w:r>
      <w:r>
        <w:t xml:space="preserve"> </w:t>
      </w:r>
      <w:r w:rsidRPr="005E5D76">
        <w:t>Biến động lợi suất tuyệt đối và Rolling Volatility của VCB</w:t>
      </w:r>
    </w:p>
    <w:p w14:paraId="66E796E5" w14:textId="77777777" w:rsidR="00434700" w:rsidRDefault="008F09AA" w:rsidP="00434700">
      <w:pPr>
        <w:rPr>
          <w:lang w:eastAsia="en-US"/>
        </w:rPr>
      </w:pPr>
      <w:r w:rsidRPr="008F09AA">
        <w:rPr>
          <w:lang w:eastAsia="en-US"/>
        </w:rPr>
        <w:lastRenderedPageBreak/>
        <w:t>Các cụm biến động lớn (|R_t| cao) tụ lại với nhau (ví dụ: giai đoạn sụt giảm năm 2022) xen kẽ các cụm biến động thấp. Độ lệch chuẩn trượt (Rolling Volatility) thay đổi liên tục và không dừng.</w:t>
      </w:r>
      <w:r>
        <w:rPr>
          <w:lang w:eastAsia="en-US"/>
        </w:rPr>
        <w:t xml:space="preserve"> </w:t>
      </w:r>
      <w:r w:rsidR="00434700" w:rsidRPr="00434700">
        <w:rPr>
          <w:lang w:eastAsia="en-US"/>
        </w:rPr>
        <w:t>Quyết định chọn độ dài Lookback Window = 126 phiên để chuẩn hóa Z-score cục bộ.</w:t>
      </w:r>
      <w:r w:rsidR="00434700">
        <w:rPr>
          <w:lang w:eastAsia="en-US"/>
        </w:rPr>
        <w:t xml:space="preserve"> </w:t>
      </w:r>
      <w:r w:rsidR="00434700" w:rsidRPr="00434700">
        <w:rPr>
          <w:lang w:eastAsia="en-US"/>
        </w:rPr>
        <w:t>Chuẩn hóa cục bộ đảm bảo mô hình chỉ nhìn nhận biến động hiện tại tương đối so với xu thế của chế độ thị trường (regime) gần nhất, thay vì bị bóp méo bởi các cú sốc lịch sử quá xa (như thời kỳ Covid hay sụp đổ 2022).</w:t>
      </w:r>
    </w:p>
    <w:p w14:paraId="462DEEAA" w14:textId="21C78924" w:rsidR="00434700" w:rsidRPr="00434700" w:rsidRDefault="00434700" w:rsidP="00434700">
      <w:r>
        <w:t>Phân tích s</w:t>
      </w:r>
      <w:r w:rsidRPr="00434700">
        <w:t>ố lượng Cửa sổ trượt hợp lệ của 50 mã cổ phiếu</w:t>
      </w:r>
      <w:r>
        <w:t xml:space="preserve">. </w:t>
      </w:r>
      <w:r w:rsidRPr="00434700">
        <w:t>Kiểm tra tính ổn định của số lượng mẫu được đưa vào huấn luyện trên mỗi mã cổ phiếu.</w:t>
      </w:r>
      <w:r>
        <w:t xml:space="preserve"> </w:t>
      </w:r>
      <w:r w:rsidRPr="00434700">
        <w:t>49/50 mã cổ phiếu đạt số lượng cửa sổ hợp lệ tối đa là 1867.</w:t>
      </w:r>
      <w:r>
        <w:t xml:space="preserve"> </w:t>
      </w:r>
      <w:r w:rsidRPr="00434700">
        <w:t>Duy nhất cổ phiếu SSB có số cửa sổ hợp lệ sụt giảm mạnh xuống chỉ còn 1194 (bị loại bỏ 673 cửa sổ, tương đương tỷ lệ loại bỏ 36.05%).</w:t>
      </w:r>
      <w:r>
        <w:t xml:space="preserve"> </w:t>
      </w:r>
      <w:r w:rsidRPr="00434700">
        <w:t>Thể hiện rõ ảnh hưởng của các mã có lịch sử ngắn khi đồng bộ hóa dòng thời gian chung bằng cách điền NaN. Nó buộc chúng ta phải phân tích sâu lỗi ranh giới niêm yết (Trình bày ở Phần II).</w:t>
      </w:r>
    </w:p>
    <w:p w14:paraId="1B5DBC7D" w14:textId="4D8A49A1" w:rsidR="00434700" w:rsidRDefault="00434700" w:rsidP="00F269C5">
      <w:r w:rsidRPr="00434700">
        <w:t xml:space="preserve">Phân phối Skewness trung bình của Amount (Z-score Tuyến tính vs Log) </w:t>
      </w:r>
      <w:r>
        <w:t>dùng để</w:t>
      </w:r>
      <w:r w:rsidRPr="00434700">
        <w:t> </w:t>
      </w:r>
      <w:r>
        <w:t>s</w:t>
      </w:r>
      <w:r w:rsidRPr="00434700">
        <w:t>o sánh hiệu quả thống kê của chuẩn hóa Tuyến tính Z-score thông thường so với biến đổi phi tuyến qua Logarithm trước khi tính Z-score đối với trường dữ liệu amount.</w:t>
      </w:r>
      <w:r w:rsidR="00F269C5">
        <w:t xml:space="preserve"> </w:t>
      </w:r>
      <w:r w:rsidRPr="00434700">
        <w:t>Phép biến đổi Log đưa Skewness trung bình từ mức lệch dương mạnh (2.949) về mức gần đối xứng (-1.404) và giảm thiểu Kurtosis cực đoan.</w:t>
      </w:r>
      <w:r w:rsidR="00F269C5">
        <w:t xml:space="preserve"> Không</w:t>
      </w:r>
      <w:r w:rsidRPr="00434700">
        <w:t xml:space="preserve"> sử dụng Log-transform cho amount, duy trì</w:t>
      </w:r>
      <w:r w:rsidRPr="00F269C5">
        <w:t> Tuyến tính Z-score kết hợp clipping </w:t>
      </w:r>
      <m:oMath>
        <m:r>
          <w:rPr>
            <w:rFonts w:ascii="Cambria Math" w:hAnsi="Cambria Math"/>
          </w:rPr>
          <m:t>±5σ</m:t>
        </m:r>
      </m:oMath>
      <w:r w:rsidRPr="00434700">
        <w:t>.</w:t>
      </w:r>
      <w:r w:rsidR="00F269C5">
        <w:t xml:space="preserve"> </w:t>
      </w:r>
      <w:r w:rsidRPr="00434700">
        <w:t>Mặc dù Log-transform giúp phân phối đẹp hơn về mặt toán học thông thường, nhưng Kronos là một</w:t>
      </w:r>
      <w:r w:rsidRPr="00F269C5">
        <w:t> Foundation Model đã được huấn luyện sẵn (Pre-trained)</w:t>
      </w:r>
      <w:r w:rsidRPr="00434700">
        <w:t>. Việc biến đổi phi tuyến đầu vào sẽ làm lệch hoàn toàn không gian biểu diễn (feature representation) so với không gian mà bộ mã hóa BSQ Tokenizer gốc đã học, phá hỏng khả năng học chuyển giao (transfer learning) từ trọng số pre-trained.</w:t>
      </w:r>
    </w:p>
    <w:p w14:paraId="18597E8C" w14:textId="247F66EF" w:rsidR="00D44D54" w:rsidRPr="00D44D54" w:rsidRDefault="00D44D54" w:rsidP="00D44D54">
      <w:pPr>
        <w:pStyle w:val="u2"/>
      </w:pPr>
      <w:r>
        <w:t>Thiết lập thực nghiệm</w:t>
      </w:r>
    </w:p>
    <w:p w14:paraId="5B3E859D" w14:textId="021249B7" w:rsidR="008F09AA" w:rsidRPr="008F09AA" w:rsidRDefault="00434700" w:rsidP="00434700">
      <w:pPr>
        <w:rPr>
          <w:lang w:eastAsia="en-US"/>
        </w:rPr>
      </w:pPr>
      <w:r w:rsidRPr="00821236">
        <w:t xml:space="preserve"> </w:t>
      </w:r>
      <w:r w:rsidR="00D44D54" w:rsidRPr="00D44D54">
        <w:rPr>
          <w:lang w:eastAsia="en-US"/>
        </w:rPr>
        <w:t>Để đánh giá khả năng tổng quát của mô hình trên dữ liệu chưa quan sát, nghiên cứu áp dụng quy trình walk</w:t>
      </w:r>
      <w:r w:rsidR="00D44D54" w:rsidRPr="00D44D54">
        <w:rPr>
          <w:lang w:eastAsia="en-US"/>
        </w:rPr>
        <w:noBreakHyphen/>
        <w:t>forward validation với bốn nếp gấp (fold) cuộn theo thời gian. Cụ thể, đối với mỗi fold, tập huấn luyện kết thúc vào cuối năm (T</w:t>
      </w:r>
      <w:r w:rsidR="00D44D54" w:rsidRPr="00D44D54">
        <w:rPr>
          <w:lang w:eastAsia="en-US"/>
        </w:rPr>
        <w:noBreakHyphen/>
        <w:t xml:space="preserve">1) và tập kiểm tra là toàn bộ năm T kế tiếp, với T chạy từ 2021 đến 2024. Giữa tập huấn luyện và tập kiểm tra </w:t>
      </w:r>
      <w:r w:rsidR="00D44D54" w:rsidRPr="00D44D54">
        <w:rPr>
          <w:lang w:eastAsia="en-US"/>
        </w:rPr>
        <w:lastRenderedPageBreak/>
        <w:t>được chừa một vùng đệm có độ dài bằng đúng cửa sổ dự báo (5 nến) nhằm ngăn chặn hoàn toàn rò rỉ thông tin tương lai. Dữ liệu huấn luyện được lấy từ 1/201</w:t>
      </w:r>
      <w:r w:rsidR="00D44D54">
        <w:rPr>
          <w:lang w:eastAsia="en-US"/>
        </w:rPr>
        <w:t>8</w:t>
      </w:r>
      <w:r w:rsidR="00D44D54" w:rsidRPr="00D44D54">
        <w:rPr>
          <w:lang w:eastAsia="en-US"/>
        </w:rPr>
        <w:t xml:space="preserve"> đến cuối năm tương ứng.</w:t>
      </w:r>
    </w:p>
    <w:sectPr w:rsidR="008F09AA" w:rsidRPr="008F09AA" w:rsidSect="00F96DBF">
      <w:pgSz w:w="11907" w:h="16839" w:code="9"/>
      <w:pgMar w:top="1418" w:right="1134" w:bottom="1418" w:left="1701" w:header="284" w:footer="28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5D63"/>
    <w:multiLevelType w:val="multilevel"/>
    <w:tmpl w:val="CFC4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D114A2"/>
    <w:multiLevelType w:val="multilevel"/>
    <w:tmpl w:val="A352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46374"/>
    <w:multiLevelType w:val="multilevel"/>
    <w:tmpl w:val="296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1200EE"/>
    <w:multiLevelType w:val="multilevel"/>
    <w:tmpl w:val="ADF4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03706"/>
    <w:multiLevelType w:val="multilevel"/>
    <w:tmpl w:val="38FA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92789A"/>
    <w:multiLevelType w:val="multilevel"/>
    <w:tmpl w:val="DD98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F1021A"/>
    <w:multiLevelType w:val="multilevel"/>
    <w:tmpl w:val="8598B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020060"/>
    <w:multiLevelType w:val="multilevel"/>
    <w:tmpl w:val="008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8A5C41"/>
    <w:multiLevelType w:val="multilevel"/>
    <w:tmpl w:val="469AD39A"/>
    <w:lvl w:ilvl="0">
      <w:start w:val="1"/>
      <w:numFmt w:val="decimal"/>
      <w:pStyle w:val="u1"/>
      <w:suff w:val="space"/>
      <w:lvlText w:val="CHƯƠNG %1"/>
      <w:lvlJc w:val="left"/>
      <w:pPr>
        <w:ind w:left="0" w:firstLine="0"/>
      </w:pPr>
      <w:rPr>
        <w:rFonts w:hint="default"/>
      </w:rPr>
    </w:lvl>
    <w:lvl w:ilvl="1">
      <w:start w:val="1"/>
      <w:numFmt w:val="decimal"/>
      <w:pStyle w:val="u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u3"/>
      <w:suff w:val="space"/>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10" w15:restartNumberingAfterBreak="0">
    <w:nsid w:val="48813C6B"/>
    <w:multiLevelType w:val="multilevel"/>
    <w:tmpl w:val="485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282506">
    <w:abstractNumId w:val="9"/>
  </w:num>
  <w:num w:numId="2" w16cid:durableId="1831750001">
    <w:abstractNumId w:val="8"/>
  </w:num>
  <w:num w:numId="3" w16cid:durableId="103578924">
    <w:abstractNumId w:val="9"/>
  </w:num>
  <w:num w:numId="4" w16cid:durableId="225604277">
    <w:abstractNumId w:val="9"/>
  </w:num>
  <w:num w:numId="5" w16cid:durableId="138301953">
    <w:abstractNumId w:val="9"/>
  </w:num>
  <w:num w:numId="6" w16cid:durableId="2089500068">
    <w:abstractNumId w:val="9"/>
  </w:num>
  <w:num w:numId="7" w16cid:durableId="513305585">
    <w:abstractNumId w:val="9"/>
  </w:num>
  <w:num w:numId="8" w16cid:durableId="459542813">
    <w:abstractNumId w:val="9"/>
  </w:num>
  <w:num w:numId="9" w16cid:durableId="1361662390">
    <w:abstractNumId w:val="9"/>
  </w:num>
  <w:num w:numId="10" w16cid:durableId="214002905">
    <w:abstractNumId w:val="9"/>
  </w:num>
  <w:num w:numId="11" w16cid:durableId="145780887">
    <w:abstractNumId w:val="9"/>
  </w:num>
  <w:num w:numId="12" w16cid:durableId="280772415">
    <w:abstractNumId w:val="9"/>
  </w:num>
  <w:num w:numId="13" w16cid:durableId="202521658">
    <w:abstractNumId w:val="9"/>
  </w:num>
  <w:num w:numId="14" w16cid:durableId="173695348">
    <w:abstractNumId w:val="1"/>
  </w:num>
  <w:num w:numId="15" w16cid:durableId="324938449">
    <w:abstractNumId w:val="10"/>
  </w:num>
  <w:num w:numId="16" w16cid:durableId="883099369">
    <w:abstractNumId w:val="3"/>
  </w:num>
  <w:num w:numId="17" w16cid:durableId="1510296070">
    <w:abstractNumId w:val="5"/>
  </w:num>
  <w:num w:numId="18" w16cid:durableId="970792789">
    <w:abstractNumId w:val="7"/>
  </w:num>
  <w:num w:numId="19" w16cid:durableId="530920093">
    <w:abstractNumId w:val="2"/>
  </w:num>
  <w:num w:numId="20" w16cid:durableId="1482192781">
    <w:abstractNumId w:val="0"/>
  </w:num>
  <w:num w:numId="21" w16cid:durableId="1229456445">
    <w:abstractNumId w:val="4"/>
  </w:num>
  <w:num w:numId="22" w16cid:durableId="18720383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BA"/>
    <w:rsid w:val="000716D9"/>
    <w:rsid w:val="00124B2A"/>
    <w:rsid w:val="001445FA"/>
    <w:rsid w:val="0018730C"/>
    <w:rsid w:val="001A31C0"/>
    <w:rsid w:val="002001B4"/>
    <w:rsid w:val="00214D3D"/>
    <w:rsid w:val="00275892"/>
    <w:rsid w:val="002A2D63"/>
    <w:rsid w:val="002B4355"/>
    <w:rsid w:val="002E1B78"/>
    <w:rsid w:val="002F15E8"/>
    <w:rsid w:val="003522EF"/>
    <w:rsid w:val="00380A36"/>
    <w:rsid w:val="003C5552"/>
    <w:rsid w:val="003F4E11"/>
    <w:rsid w:val="004030D4"/>
    <w:rsid w:val="004110BA"/>
    <w:rsid w:val="00424EED"/>
    <w:rsid w:val="00434700"/>
    <w:rsid w:val="0045034E"/>
    <w:rsid w:val="00584A16"/>
    <w:rsid w:val="005D36D5"/>
    <w:rsid w:val="005D449D"/>
    <w:rsid w:val="005D5FED"/>
    <w:rsid w:val="0064305F"/>
    <w:rsid w:val="00686AA8"/>
    <w:rsid w:val="006B6354"/>
    <w:rsid w:val="006C2BC2"/>
    <w:rsid w:val="006C5125"/>
    <w:rsid w:val="007037F3"/>
    <w:rsid w:val="0071796E"/>
    <w:rsid w:val="007224C8"/>
    <w:rsid w:val="007639EC"/>
    <w:rsid w:val="007B44AC"/>
    <w:rsid w:val="007C7EA2"/>
    <w:rsid w:val="008607EE"/>
    <w:rsid w:val="008F09AA"/>
    <w:rsid w:val="00984FF8"/>
    <w:rsid w:val="009A5B58"/>
    <w:rsid w:val="00A60D0E"/>
    <w:rsid w:val="00A83FDF"/>
    <w:rsid w:val="00A8491D"/>
    <w:rsid w:val="00AB3B45"/>
    <w:rsid w:val="00AF4153"/>
    <w:rsid w:val="00B22DF9"/>
    <w:rsid w:val="00B22FA4"/>
    <w:rsid w:val="00B351E4"/>
    <w:rsid w:val="00B608FB"/>
    <w:rsid w:val="00B65D29"/>
    <w:rsid w:val="00B70D43"/>
    <w:rsid w:val="00B9210C"/>
    <w:rsid w:val="00BA66D2"/>
    <w:rsid w:val="00BB4D6D"/>
    <w:rsid w:val="00C40256"/>
    <w:rsid w:val="00C96432"/>
    <w:rsid w:val="00CC3866"/>
    <w:rsid w:val="00CE295D"/>
    <w:rsid w:val="00D16962"/>
    <w:rsid w:val="00D36E6B"/>
    <w:rsid w:val="00D44D54"/>
    <w:rsid w:val="00D52282"/>
    <w:rsid w:val="00D96ADB"/>
    <w:rsid w:val="00DB3D72"/>
    <w:rsid w:val="00E04F6A"/>
    <w:rsid w:val="00E36040"/>
    <w:rsid w:val="00E97BF5"/>
    <w:rsid w:val="00EC7259"/>
    <w:rsid w:val="00F269C5"/>
    <w:rsid w:val="00F336F6"/>
    <w:rsid w:val="00F84F20"/>
    <w:rsid w:val="00F96D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417D"/>
  <w15:chartTrackingRefBased/>
  <w15:docId w15:val="{5D449F86-B90A-458E-947D-5EEB8F84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22DF9"/>
    <w:pPr>
      <w:spacing w:line="360" w:lineRule="auto"/>
      <w:jc w:val="both"/>
    </w:pPr>
    <w:rPr>
      <w:rFonts w:eastAsia="Times New Roman"/>
      <w:noProof/>
      <w:lang w:eastAsia="vi-VN"/>
    </w:rPr>
  </w:style>
  <w:style w:type="paragraph" w:styleId="u1">
    <w:name w:val="heading 1"/>
    <w:basedOn w:val="Binhthng"/>
    <w:next w:val="u2"/>
    <w:link w:val="u1Char"/>
    <w:uiPriority w:val="9"/>
    <w:qFormat/>
    <w:rsid w:val="00F96DBF"/>
    <w:pPr>
      <w:keepNext/>
      <w:keepLines/>
      <w:numPr>
        <w:numId w:val="13"/>
      </w:numPr>
      <w:spacing w:before="480" w:after="480" w:line="240" w:lineRule="auto"/>
      <w:jc w:val="left"/>
      <w:outlineLvl w:val="0"/>
    </w:pPr>
    <w:rPr>
      <w:rFonts w:eastAsiaTheme="majorEastAsia" w:cstheme="majorBidi"/>
      <w:b/>
      <w:bCs/>
      <w:sz w:val="28"/>
      <w:szCs w:val="28"/>
      <w:lang w:eastAsia="en-US"/>
    </w:rPr>
  </w:style>
  <w:style w:type="paragraph" w:styleId="u2">
    <w:name w:val="heading 2"/>
    <w:basedOn w:val="Binhthng"/>
    <w:next w:val="Content"/>
    <w:link w:val="u2Char"/>
    <w:uiPriority w:val="9"/>
    <w:unhideWhenUsed/>
    <w:qFormat/>
    <w:rsid w:val="00F96DBF"/>
    <w:pPr>
      <w:keepNext/>
      <w:keepLines/>
      <w:numPr>
        <w:ilvl w:val="1"/>
        <w:numId w:val="13"/>
      </w:numPr>
      <w:spacing w:before="120" w:after="240" w:line="240" w:lineRule="auto"/>
      <w:jc w:val="left"/>
      <w:outlineLvl w:val="1"/>
    </w:pPr>
    <w:rPr>
      <w:rFonts w:eastAsiaTheme="majorEastAsia" w:cstheme="majorBidi"/>
      <w:b/>
      <w:bCs/>
      <w:lang w:eastAsia="en-US"/>
    </w:rPr>
  </w:style>
  <w:style w:type="paragraph" w:styleId="u3">
    <w:name w:val="heading 3"/>
    <w:basedOn w:val="Binhthng"/>
    <w:next w:val="Content"/>
    <w:link w:val="u3Char"/>
    <w:unhideWhenUsed/>
    <w:qFormat/>
    <w:rsid w:val="00F96DBF"/>
    <w:pPr>
      <w:keepNext/>
      <w:keepLines/>
      <w:numPr>
        <w:ilvl w:val="2"/>
        <w:numId w:val="13"/>
      </w:numPr>
      <w:spacing w:before="120" w:after="240" w:line="240" w:lineRule="auto"/>
      <w:jc w:val="left"/>
      <w:outlineLvl w:val="2"/>
    </w:pPr>
    <w:rPr>
      <w:rFonts w:eastAsiaTheme="majorEastAsia" w:cstheme="majorBidi"/>
      <w:b/>
      <w:bCs/>
      <w:i/>
      <w:lang w:eastAsia="en-US"/>
    </w:rPr>
  </w:style>
  <w:style w:type="paragraph" w:styleId="u4">
    <w:name w:val="heading 4"/>
    <w:basedOn w:val="u3"/>
    <w:next w:val="Content"/>
    <w:link w:val="u4Char"/>
    <w:uiPriority w:val="9"/>
    <w:unhideWhenUsed/>
    <w:qFormat/>
    <w:rsid w:val="00F96DBF"/>
    <w:pPr>
      <w:numPr>
        <w:ilvl w:val="3"/>
      </w:numPr>
      <w:outlineLvl w:val="3"/>
    </w:pPr>
    <w:rPr>
      <w:b w:val="0"/>
      <w:iCs/>
    </w:rPr>
  </w:style>
  <w:style w:type="paragraph" w:styleId="u5">
    <w:name w:val="heading 5"/>
    <w:basedOn w:val="Binhthng"/>
    <w:next w:val="Binhthng"/>
    <w:link w:val="u5Char"/>
    <w:rsid w:val="00F96DBF"/>
    <w:pPr>
      <w:keepNext/>
      <w:numPr>
        <w:ilvl w:val="4"/>
        <w:numId w:val="13"/>
      </w:numPr>
      <w:spacing w:line="276" w:lineRule="auto"/>
      <w:jc w:val="left"/>
      <w:outlineLvl w:val="4"/>
    </w:pPr>
    <w:rPr>
      <w:rFonts w:eastAsiaTheme="minorHAnsi"/>
      <w:b/>
      <w:sz w:val="24"/>
      <w:lang w:eastAsia="en-US"/>
    </w:rPr>
  </w:style>
  <w:style w:type="paragraph" w:styleId="u6">
    <w:name w:val="heading 6"/>
    <w:basedOn w:val="Binhthng"/>
    <w:next w:val="Binhthng"/>
    <w:link w:val="u6Char"/>
    <w:rsid w:val="00F96DBF"/>
    <w:pPr>
      <w:numPr>
        <w:ilvl w:val="5"/>
        <w:numId w:val="13"/>
      </w:numPr>
      <w:spacing w:before="240" w:after="60" w:line="276" w:lineRule="auto"/>
      <w:jc w:val="left"/>
      <w:outlineLvl w:val="5"/>
    </w:pPr>
    <w:rPr>
      <w:rFonts w:eastAsiaTheme="minorHAnsi"/>
      <w:i/>
      <w:sz w:val="22"/>
      <w:lang w:eastAsia="en-US"/>
    </w:rPr>
  </w:style>
  <w:style w:type="paragraph" w:styleId="u7">
    <w:name w:val="heading 7"/>
    <w:basedOn w:val="Binhthng"/>
    <w:next w:val="Binhthng"/>
    <w:link w:val="u7Char"/>
    <w:uiPriority w:val="9"/>
    <w:semiHidden/>
    <w:unhideWhenUsed/>
    <w:rsid w:val="00F96DBF"/>
    <w:pPr>
      <w:keepNext/>
      <w:keepLines/>
      <w:numPr>
        <w:ilvl w:val="6"/>
        <w:numId w:val="13"/>
      </w:numPr>
      <w:spacing w:before="200" w:line="276" w:lineRule="auto"/>
      <w:jc w:val="left"/>
      <w:outlineLvl w:val="6"/>
    </w:pPr>
    <w:rPr>
      <w:rFonts w:asciiTheme="majorHAnsi" w:eastAsiaTheme="majorEastAsia" w:hAnsiTheme="majorHAnsi" w:cstheme="majorBidi"/>
      <w:i/>
      <w:iCs/>
      <w:color w:val="404040" w:themeColor="text1" w:themeTint="BF"/>
      <w:lang w:eastAsia="en-US"/>
    </w:rPr>
  </w:style>
  <w:style w:type="paragraph" w:styleId="u8">
    <w:name w:val="heading 8"/>
    <w:basedOn w:val="Binhthng"/>
    <w:next w:val="Binhthng"/>
    <w:link w:val="u8Char"/>
    <w:rsid w:val="00F96DBF"/>
    <w:pPr>
      <w:keepNext/>
      <w:numPr>
        <w:ilvl w:val="7"/>
        <w:numId w:val="13"/>
      </w:numPr>
      <w:spacing w:line="276" w:lineRule="auto"/>
      <w:jc w:val="center"/>
      <w:outlineLvl w:val="7"/>
    </w:pPr>
    <w:rPr>
      <w:rFonts w:ascii="VNI-Helve" w:eastAsiaTheme="minorHAnsi" w:hAnsi="VNI-Helve"/>
      <w:b/>
      <w:sz w:val="40"/>
      <w:lang w:eastAsia="en-US"/>
    </w:rPr>
  </w:style>
  <w:style w:type="paragraph" w:styleId="u9">
    <w:name w:val="heading 9"/>
    <w:basedOn w:val="Binhthng"/>
    <w:next w:val="Binhthng"/>
    <w:link w:val="u9Char"/>
    <w:uiPriority w:val="9"/>
    <w:semiHidden/>
    <w:unhideWhenUsed/>
    <w:rsid w:val="00F96DBF"/>
    <w:pPr>
      <w:keepNext/>
      <w:keepLines/>
      <w:numPr>
        <w:ilvl w:val="8"/>
        <w:numId w:val="13"/>
      </w:numPr>
      <w:spacing w:before="200" w:line="276" w:lineRule="auto"/>
      <w:jc w:val="left"/>
      <w:outlineLvl w:val="8"/>
    </w:pPr>
    <w:rPr>
      <w:rFonts w:asciiTheme="majorHAnsi" w:eastAsiaTheme="majorEastAsia" w:hAnsiTheme="majorHAnsi" w:cstheme="majorBidi"/>
      <w:i/>
      <w:iCs/>
      <w:color w:val="404040" w:themeColor="text1" w:themeTint="BF"/>
      <w:sz w:val="20"/>
      <w:lang w:eastAsia="en-U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96DBF"/>
    <w:rPr>
      <w:rFonts w:eastAsiaTheme="majorEastAsia" w:cstheme="majorBidi"/>
      <w:b/>
      <w:bCs/>
      <w:sz w:val="28"/>
      <w:szCs w:val="28"/>
      <w:lang w:val="en-US"/>
    </w:rPr>
  </w:style>
  <w:style w:type="paragraph" w:customStyle="1" w:styleId="Content">
    <w:name w:val="Content"/>
    <w:basedOn w:val="BKNormal"/>
    <w:link w:val="ContentChar"/>
    <w:qFormat/>
    <w:rsid w:val="00F96DBF"/>
    <w:pPr>
      <w:spacing w:before="200"/>
      <w:jc w:val="both"/>
    </w:pPr>
  </w:style>
  <w:style w:type="character" w:customStyle="1" w:styleId="ContentChar">
    <w:name w:val="Content Char"/>
    <w:basedOn w:val="BKNormalChar"/>
    <w:link w:val="Content"/>
    <w:rsid w:val="00F96DBF"/>
    <w:rPr>
      <w:lang w:val="en-US"/>
    </w:rPr>
  </w:style>
  <w:style w:type="paragraph" w:styleId="Banghinhminhhoa">
    <w:name w:val="table of figures"/>
    <w:basedOn w:val="Binhthng"/>
    <w:next w:val="Binhthng"/>
    <w:uiPriority w:val="99"/>
    <w:unhideWhenUsed/>
    <w:rsid w:val="00F96DBF"/>
    <w:pPr>
      <w:spacing w:line="276" w:lineRule="auto"/>
      <w:jc w:val="left"/>
    </w:pPr>
    <w:rPr>
      <w:rFonts w:eastAsiaTheme="minorHAnsi"/>
      <w:lang w:eastAsia="en-US"/>
    </w:rPr>
  </w:style>
  <w:style w:type="paragraph" w:customStyle="1" w:styleId="BKHeading1">
    <w:name w:val="BK_Heading 1"/>
    <w:basedOn w:val="u1"/>
    <w:link w:val="BKHeading1Char"/>
    <w:rsid w:val="00F96DBF"/>
    <w:rPr>
      <w:b w:val="0"/>
      <w:bCs w:val="0"/>
    </w:rPr>
  </w:style>
  <w:style w:type="character" w:customStyle="1" w:styleId="BKHeading1Char">
    <w:name w:val="BK_Heading 1 Char"/>
    <w:basedOn w:val="u1Char"/>
    <w:link w:val="BKHeading1"/>
    <w:rsid w:val="00F96DBF"/>
    <w:rPr>
      <w:rFonts w:eastAsiaTheme="majorEastAsia" w:cstheme="majorBidi"/>
      <w:b w:val="0"/>
      <w:bCs w:val="0"/>
      <w:sz w:val="28"/>
      <w:szCs w:val="28"/>
      <w:lang w:val="en-US"/>
    </w:rPr>
  </w:style>
  <w:style w:type="paragraph" w:customStyle="1" w:styleId="BKHeading2">
    <w:name w:val="BK_Heading 2"/>
    <w:basedOn w:val="u2"/>
    <w:link w:val="BKHeading2Char"/>
    <w:rsid w:val="00F96DBF"/>
    <w:pPr>
      <w:ind w:left="578" w:hanging="578"/>
    </w:pPr>
    <w:rPr>
      <w:b w:val="0"/>
      <w:bCs w:val="0"/>
    </w:rPr>
  </w:style>
  <w:style w:type="character" w:customStyle="1" w:styleId="BKHeading2Char">
    <w:name w:val="BK_Heading 2 Char"/>
    <w:basedOn w:val="u2Char"/>
    <w:link w:val="BKHeading2"/>
    <w:rsid w:val="00F96DBF"/>
    <w:rPr>
      <w:rFonts w:eastAsiaTheme="majorEastAsia" w:cstheme="majorBidi"/>
      <w:b w:val="0"/>
      <w:bCs w:val="0"/>
      <w:lang w:val="en-US"/>
    </w:rPr>
  </w:style>
  <w:style w:type="character" w:customStyle="1" w:styleId="u2Char">
    <w:name w:val="Đầu đề 2 Char"/>
    <w:basedOn w:val="Phngmcinhcuaoanvn"/>
    <w:link w:val="u2"/>
    <w:uiPriority w:val="9"/>
    <w:rsid w:val="00F96DBF"/>
    <w:rPr>
      <w:rFonts w:eastAsiaTheme="majorEastAsia" w:cstheme="majorBidi"/>
      <w:b/>
      <w:bCs/>
      <w:lang w:val="en-US"/>
    </w:rPr>
  </w:style>
  <w:style w:type="paragraph" w:customStyle="1" w:styleId="BKIndent">
    <w:name w:val="BK_Indent"/>
    <w:basedOn w:val="Binhthng"/>
    <w:link w:val="BKIndentChar"/>
    <w:rsid w:val="00F96DBF"/>
    <w:pPr>
      <w:spacing w:before="120"/>
      <w:ind w:firstLine="567"/>
      <w:jc w:val="left"/>
    </w:pPr>
    <w:rPr>
      <w:rFonts w:eastAsiaTheme="minorHAnsi"/>
      <w:lang w:eastAsia="en-US"/>
    </w:rPr>
  </w:style>
  <w:style w:type="character" w:customStyle="1" w:styleId="BKIndentChar">
    <w:name w:val="BK_Indent Char"/>
    <w:basedOn w:val="Phngmcinhcuaoanvn"/>
    <w:link w:val="BKIndent"/>
    <w:rsid w:val="00F96DBF"/>
    <w:rPr>
      <w:lang w:val="en-US"/>
    </w:rPr>
  </w:style>
  <w:style w:type="paragraph" w:customStyle="1" w:styleId="BKNormal">
    <w:name w:val="BK_Normal"/>
    <w:basedOn w:val="Binhthng"/>
    <w:link w:val="BKNormalChar"/>
    <w:rsid w:val="00F96DBF"/>
    <w:pPr>
      <w:spacing w:before="240"/>
      <w:jc w:val="left"/>
    </w:pPr>
    <w:rPr>
      <w:rFonts w:eastAsiaTheme="minorHAnsi"/>
      <w:lang w:eastAsia="en-US"/>
    </w:rPr>
  </w:style>
  <w:style w:type="character" w:customStyle="1" w:styleId="BKNormalChar">
    <w:name w:val="BK_Normal Char"/>
    <w:basedOn w:val="Phngmcinhcuaoanvn"/>
    <w:link w:val="BKNormal"/>
    <w:rsid w:val="00F96DBF"/>
    <w:rPr>
      <w:lang w:val="en-US"/>
    </w:rPr>
  </w:style>
  <w:style w:type="paragraph" w:customStyle="1" w:styleId="BKTable">
    <w:name w:val="BK_Table"/>
    <w:basedOn w:val="Binhthng"/>
    <w:link w:val="BKTableChar"/>
    <w:rsid w:val="00F96DBF"/>
    <w:pPr>
      <w:spacing w:line="276" w:lineRule="auto"/>
      <w:jc w:val="left"/>
    </w:pPr>
    <w:rPr>
      <w:rFonts w:eastAsiaTheme="minorHAnsi"/>
      <w:b/>
      <w:lang w:eastAsia="en-US"/>
    </w:rPr>
  </w:style>
  <w:style w:type="character" w:customStyle="1" w:styleId="BKTableChar">
    <w:name w:val="BK_Table Char"/>
    <w:basedOn w:val="Phngmcinhcuaoanvn"/>
    <w:link w:val="BKTable"/>
    <w:rsid w:val="00F96DBF"/>
    <w:rPr>
      <w:b/>
      <w:lang w:val="en-US"/>
    </w:rPr>
  </w:style>
  <w:style w:type="paragraph" w:styleId="Bongchuthich">
    <w:name w:val="Balloon Text"/>
    <w:basedOn w:val="Binhthng"/>
    <w:link w:val="BongchuthichChar"/>
    <w:uiPriority w:val="99"/>
    <w:semiHidden/>
    <w:unhideWhenUsed/>
    <w:rsid w:val="00F96DBF"/>
    <w:rPr>
      <w:rFonts w:ascii="Tahoma" w:hAnsi="Tahoma" w:cs="Tahoma"/>
      <w:sz w:val="16"/>
      <w:szCs w:val="16"/>
    </w:rPr>
  </w:style>
  <w:style w:type="character" w:customStyle="1" w:styleId="BongchuthichChar">
    <w:name w:val="Bóng chú thích Char"/>
    <w:basedOn w:val="Phngmcinhcuaoanvn"/>
    <w:link w:val="Bongchuthich"/>
    <w:uiPriority w:val="99"/>
    <w:semiHidden/>
    <w:rsid w:val="00F96DBF"/>
    <w:rPr>
      <w:rFonts w:ascii="Tahoma" w:hAnsi="Tahoma" w:cs="Tahoma"/>
      <w:sz w:val="16"/>
      <w:szCs w:val="16"/>
      <w:lang w:val="en-US"/>
    </w:rPr>
  </w:style>
  <w:style w:type="paragraph" w:customStyle="1" w:styleId="Bullet">
    <w:name w:val="Bullet"/>
    <w:basedOn w:val="Content"/>
    <w:link w:val="BulletChar"/>
    <w:qFormat/>
    <w:rsid w:val="00F96DBF"/>
    <w:pPr>
      <w:numPr>
        <w:numId w:val="2"/>
      </w:numPr>
      <w:spacing w:before="0"/>
    </w:pPr>
  </w:style>
  <w:style w:type="character" w:customStyle="1" w:styleId="BulletChar">
    <w:name w:val="Bullet Char"/>
    <w:basedOn w:val="ContentChar"/>
    <w:link w:val="Bullet"/>
    <w:rsid w:val="00F96DBF"/>
    <w:rPr>
      <w:lang w:val="en-US"/>
    </w:rPr>
  </w:style>
  <w:style w:type="paragraph" w:customStyle="1" w:styleId="Cover">
    <w:name w:val="Cover"/>
    <w:basedOn w:val="Binhthng"/>
    <w:link w:val="CoverChar"/>
    <w:qFormat/>
    <w:rsid w:val="00F96DBF"/>
    <w:pPr>
      <w:spacing w:line="276" w:lineRule="auto"/>
      <w:jc w:val="center"/>
    </w:pPr>
    <w:rPr>
      <w:rFonts w:eastAsiaTheme="minorHAnsi"/>
      <w:caps/>
      <w:sz w:val="28"/>
      <w:szCs w:val="28"/>
      <w:lang w:eastAsia="en-US"/>
    </w:rPr>
  </w:style>
  <w:style w:type="character" w:customStyle="1" w:styleId="CoverChar">
    <w:name w:val="Cover Char"/>
    <w:basedOn w:val="Phngmcinhcuaoanvn"/>
    <w:link w:val="Cover"/>
    <w:rsid w:val="00F96DBF"/>
    <w:rPr>
      <w:caps/>
      <w:sz w:val="28"/>
      <w:szCs w:val="28"/>
      <w:lang w:val="en-US"/>
    </w:rPr>
  </w:style>
  <w:style w:type="paragraph" w:customStyle="1" w:styleId="CoverB">
    <w:name w:val="CoverB"/>
    <w:basedOn w:val="Binhthng"/>
    <w:link w:val="CoverBChar"/>
    <w:qFormat/>
    <w:rsid w:val="00F96DBF"/>
    <w:pPr>
      <w:spacing w:after="240" w:line="276" w:lineRule="auto"/>
      <w:jc w:val="center"/>
    </w:pPr>
    <w:rPr>
      <w:rFonts w:eastAsiaTheme="minorHAnsi"/>
      <w:b/>
      <w:caps/>
      <w:sz w:val="28"/>
      <w:szCs w:val="28"/>
      <w:lang w:eastAsia="en-US"/>
    </w:rPr>
  </w:style>
  <w:style w:type="character" w:customStyle="1" w:styleId="CoverBChar">
    <w:name w:val="CoverB Char"/>
    <w:basedOn w:val="Phngmcinhcuaoanvn"/>
    <w:link w:val="CoverB"/>
    <w:rsid w:val="00F96DBF"/>
    <w:rPr>
      <w:b/>
      <w:caps/>
      <w:noProof/>
      <w:sz w:val="28"/>
      <w:szCs w:val="28"/>
      <w:lang w:val="en-US"/>
    </w:rPr>
  </w:style>
  <w:style w:type="paragraph" w:customStyle="1" w:styleId="CoverT">
    <w:name w:val="CoverT"/>
    <w:basedOn w:val="Binhthng"/>
    <w:link w:val="CoverTChar"/>
    <w:qFormat/>
    <w:rsid w:val="00F96DBF"/>
    <w:pPr>
      <w:tabs>
        <w:tab w:val="center" w:pos="1134"/>
        <w:tab w:val="center" w:pos="5670"/>
      </w:tabs>
      <w:spacing w:line="276" w:lineRule="auto"/>
      <w:jc w:val="center"/>
    </w:pPr>
    <w:rPr>
      <w:rFonts w:eastAsiaTheme="minorHAnsi"/>
      <w:b/>
      <w:caps/>
      <w:sz w:val="32"/>
      <w:lang w:eastAsia="en-US"/>
    </w:rPr>
  </w:style>
  <w:style w:type="character" w:customStyle="1" w:styleId="CoverTChar">
    <w:name w:val="CoverT Char"/>
    <w:basedOn w:val="Phngmcinhcuaoanvn"/>
    <w:link w:val="CoverT"/>
    <w:rsid w:val="00F96DBF"/>
    <w:rPr>
      <w:b/>
      <w:caps/>
      <w:sz w:val="32"/>
      <w:lang w:val="en-US"/>
    </w:rPr>
  </w:style>
  <w:style w:type="paragraph" w:styleId="Chntrang">
    <w:name w:val="footer"/>
    <w:basedOn w:val="Binhthng"/>
    <w:link w:val="ChntrangChar"/>
    <w:uiPriority w:val="99"/>
    <w:unhideWhenUsed/>
    <w:rsid w:val="00F96DBF"/>
    <w:pPr>
      <w:tabs>
        <w:tab w:val="center" w:pos="4680"/>
        <w:tab w:val="right" w:pos="9360"/>
      </w:tabs>
      <w:spacing w:line="276" w:lineRule="auto"/>
      <w:jc w:val="left"/>
    </w:pPr>
    <w:rPr>
      <w:rFonts w:eastAsiaTheme="minorHAnsi"/>
      <w:lang w:eastAsia="en-US"/>
    </w:rPr>
  </w:style>
  <w:style w:type="character" w:customStyle="1" w:styleId="ChntrangChar">
    <w:name w:val="Chân trang Char"/>
    <w:basedOn w:val="Phngmcinhcuaoanvn"/>
    <w:link w:val="Chntrang"/>
    <w:uiPriority w:val="99"/>
    <w:rsid w:val="00F96DBF"/>
    <w:rPr>
      <w:lang w:val="en-US"/>
    </w:rPr>
  </w:style>
  <w:style w:type="paragraph" w:styleId="Chuthich">
    <w:name w:val="caption"/>
    <w:basedOn w:val="Binhthng"/>
    <w:next w:val="Binhthng"/>
    <w:link w:val="ChuthichChar"/>
    <w:unhideWhenUsed/>
    <w:qFormat/>
    <w:rsid w:val="00F96DBF"/>
    <w:pPr>
      <w:spacing w:before="120" w:after="120" w:line="240" w:lineRule="auto"/>
      <w:jc w:val="center"/>
    </w:pPr>
    <w:rPr>
      <w:rFonts w:eastAsiaTheme="minorHAnsi"/>
      <w:bCs/>
      <w:i/>
      <w:sz w:val="24"/>
      <w:szCs w:val="18"/>
      <w:lang w:eastAsia="en-US"/>
    </w:rPr>
  </w:style>
  <w:style w:type="character" w:customStyle="1" w:styleId="ChuthichChar">
    <w:name w:val="Chú thích Char"/>
    <w:link w:val="Chuthich"/>
    <w:rsid w:val="00F96DBF"/>
    <w:rPr>
      <w:bCs/>
      <w:i/>
      <w:sz w:val="24"/>
      <w:szCs w:val="18"/>
      <w:lang w:val="en-US"/>
    </w:rPr>
  </w:style>
  <w:style w:type="paragraph" w:styleId="DanhmucTailiuThamkhao">
    <w:name w:val="Bibliography"/>
    <w:basedOn w:val="Binhthng"/>
    <w:next w:val="Binhthng"/>
    <w:uiPriority w:val="37"/>
    <w:unhideWhenUsed/>
    <w:rsid w:val="00F96DBF"/>
    <w:pPr>
      <w:spacing w:line="276" w:lineRule="auto"/>
      <w:jc w:val="left"/>
    </w:pPr>
    <w:rPr>
      <w:rFonts w:eastAsiaTheme="minorHAnsi"/>
      <w:lang w:eastAsia="en-US"/>
    </w:rPr>
  </w:style>
  <w:style w:type="character" w:customStyle="1" w:styleId="u3Char">
    <w:name w:val="Đầu đề 3 Char"/>
    <w:basedOn w:val="Phngmcinhcuaoanvn"/>
    <w:link w:val="u3"/>
    <w:rsid w:val="00F96DBF"/>
    <w:rPr>
      <w:rFonts w:eastAsiaTheme="majorEastAsia" w:cstheme="majorBidi"/>
      <w:b/>
      <w:bCs/>
      <w:i/>
      <w:lang w:val="en-US"/>
    </w:rPr>
  </w:style>
  <w:style w:type="character" w:customStyle="1" w:styleId="u4Char">
    <w:name w:val="Đầu đề 4 Char"/>
    <w:basedOn w:val="Phngmcinhcuaoanvn"/>
    <w:link w:val="u4"/>
    <w:uiPriority w:val="9"/>
    <w:rsid w:val="00F96DBF"/>
    <w:rPr>
      <w:rFonts w:eastAsiaTheme="majorEastAsia" w:cstheme="majorBidi"/>
      <w:bCs/>
      <w:i/>
      <w:iCs/>
      <w:lang w:val="en-US"/>
    </w:rPr>
  </w:style>
  <w:style w:type="character" w:customStyle="1" w:styleId="u5Char">
    <w:name w:val="Đầu đề 5 Char"/>
    <w:basedOn w:val="Phngmcinhcuaoanvn"/>
    <w:link w:val="u5"/>
    <w:rsid w:val="00F96DBF"/>
    <w:rPr>
      <w:b/>
      <w:sz w:val="24"/>
      <w:lang w:val="en-US"/>
    </w:rPr>
  </w:style>
  <w:style w:type="character" w:customStyle="1" w:styleId="u6Char">
    <w:name w:val="Đầu đề 6 Char"/>
    <w:basedOn w:val="Phngmcinhcuaoanvn"/>
    <w:link w:val="u6"/>
    <w:rsid w:val="00F96DBF"/>
    <w:rPr>
      <w:i/>
      <w:sz w:val="22"/>
      <w:lang w:val="en-US"/>
    </w:rPr>
  </w:style>
  <w:style w:type="character" w:customStyle="1" w:styleId="u7Char">
    <w:name w:val="Đầu đề 7 Char"/>
    <w:basedOn w:val="Phngmcinhcuaoanvn"/>
    <w:link w:val="u7"/>
    <w:uiPriority w:val="9"/>
    <w:semiHidden/>
    <w:rsid w:val="00F96DBF"/>
    <w:rPr>
      <w:rFonts w:asciiTheme="majorHAnsi" w:eastAsiaTheme="majorEastAsia" w:hAnsiTheme="majorHAnsi" w:cstheme="majorBidi"/>
      <w:i/>
      <w:iCs/>
      <w:color w:val="404040" w:themeColor="text1" w:themeTint="BF"/>
      <w:lang w:val="en-US"/>
    </w:rPr>
  </w:style>
  <w:style w:type="character" w:customStyle="1" w:styleId="u8Char">
    <w:name w:val="Đầu đề 8 Char"/>
    <w:basedOn w:val="Phngmcinhcuaoanvn"/>
    <w:link w:val="u8"/>
    <w:rsid w:val="00F96DBF"/>
    <w:rPr>
      <w:rFonts w:ascii="VNI-Helve" w:hAnsi="VNI-Helve"/>
      <w:b/>
      <w:sz w:val="40"/>
      <w:lang w:val="en-US"/>
    </w:rPr>
  </w:style>
  <w:style w:type="character" w:customStyle="1" w:styleId="u9Char">
    <w:name w:val="Đầu đề 9 Char"/>
    <w:basedOn w:val="Phngmcinhcuaoanvn"/>
    <w:link w:val="u9"/>
    <w:uiPriority w:val="9"/>
    <w:semiHidden/>
    <w:rsid w:val="00F96DBF"/>
    <w:rPr>
      <w:rFonts w:asciiTheme="majorHAnsi" w:eastAsiaTheme="majorEastAsia" w:hAnsiTheme="majorHAnsi" w:cstheme="majorBidi"/>
      <w:i/>
      <w:iCs/>
      <w:color w:val="404040" w:themeColor="text1" w:themeTint="BF"/>
      <w:sz w:val="20"/>
      <w:lang w:val="en-US"/>
    </w:rPr>
  </w:style>
  <w:style w:type="paragraph" w:styleId="uMucluc">
    <w:name w:val="TOC Heading"/>
    <w:basedOn w:val="u1"/>
    <w:next w:val="Binhthng"/>
    <w:uiPriority w:val="39"/>
    <w:unhideWhenUsed/>
    <w:qFormat/>
    <w:rsid w:val="00F96DBF"/>
    <w:pPr>
      <w:spacing w:after="0"/>
      <w:outlineLvl w:val="9"/>
    </w:pPr>
    <w:rPr>
      <w:rFonts w:asciiTheme="majorHAnsi" w:hAnsiTheme="majorHAnsi"/>
      <w:color w:val="2F5496" w:themeColor="accent1" w:themeShade="BF"/>
    </w:rPr>
  </w:style>
  <w:style w:type="paragraph" w:styleId="utrang">
    <w:name w:val="header"/>
    <w:basedOn w:val="Binhthng"/>
    <w:link w:val="utrangChar"/>
    <w:unhideWhenUsed/>
    <w:rsid w:val="00F96DBF"/>
    <w:pPr>
      <w:tabs>
        <w:tab w:val="center" w:pos="4680"/>
        <w:tab w:val="right" w:pos="9360"/>
      </w:tabs>
      <w:spacing w:line="276" w:lineRule="auto"/>
      <w:jc w:val="left"/>
    </w:pPr>
    <w:rPr>
      <w:rFonts w:eastAsiaTheme="minorHAnsi"/>
      <w:lang w:eastAsia="en-US"/>
    </w:rPr>
  </w:style>
  <w:style w:type="character" w:customStyle="1" w:styleId="utrangChar">
    <w:name w:val="Đầu trang Char"/>
    <w:basedOn w:val="Phngmcinhcuaoanvn"/>
    <w:link w:val="utrang"/>
    <w:rsid w:val="00F96DBF"/>
    <w:rPr>
      <w:lang w:val="en-US"/>
    </w:rPr>
  </w:style>
  <w:style w:type="paragraph" w:styleId="oancuaDanhsach">
    <w:name w:val="List Paragraph"/>
    <w:basedOn w:val="Binhthng"/>
    <w:uiPriority w:val="34"/>
    <w:qFormat/>
    <w:rsid w:val="00F96DBF"/>
    <w:pPr>
      <w:spacing w:line="276" w:lineRule="auto"/>
      <w:ind w:left="720"/>
      <w:contextualSpacing/>
      <w:jc w:val="left"/>
    </w:pPr>
    <w:rPr>
      <w:rFonts w:eastAsiaTheme="minorHAnsi" w:cstheme="minorBidi"/>
      <w:szCs w:val="22"/>
      <w:lang w:eastAsia="en-US"/>
    </w:rPr>
  </w:style>
  <w:style w:type="paragraph" w:customStyle="1" w:styleId="Heading1N">
    <w:name w:val="Heading 1N"/>
    <w:basedOn w:val="BKHeading1"/>
    <w:next w:val="Content"/>
    <w:link w:val="Heading1NChar"/>
    <w:qFormat/>
    <w:rsid w:val="00F96DBF"/>
    <w:pPr>
      <w:numPr>
        <w:numId w:val="0"/>
      </w:numPr>
      <w:jc w:val="center"/>
    </w:pPr>
    <w:rPr>
      <w:b/>
      <w:bCs/>
    </w:rPr>
  </w:style>
  <w:style w:type="character" w:customStyle="1" w:styleId="Heading1NChar">
    <w:name w:val="Heading 1N Char"/>
    <w:basedOn w:val="BKHeading1Char"/>
    <w:link w:val="Heading1N"/>
    <w:rsid w:val="00F96DBF"/>
    <w:rPr>
      <w:rFonts w:eastAsiaTheme="majorEastAsia" w:cstheme="majorBidi"/>
      <w:b/>
      <w:bCs/>
      <w:sz w:val="28"/>
      <w:szCs w:val="28"/>
      <w:lang w:val="en-US"/>
    </w:rPr>
  </w:style>
  <w:style w:type="character" w:customStyle="1" w:styleId="hps">
    <w:name w:val="hps"/>
    <w:basedOn w:val="Phngmcinhcuaoanvn"/>
    <w:rsid w:val="00F96DBF"/>
  </w:style>
  <w:style w:type="paragraph" w:customStyle="1" w:styleId="Indent">
    <w:name w:val="Indent"/>
    <w:basedOn w:val="Binhthng"/>
    <w:link w:val="IndentChar"/>
    <w:qFormat/>
    <w:rsid w:val="00F96DBF"/>
    <w:pPr>
      <w:spacing w:before="120"/>
      <w:ind w:firstLine="567"/>
      <w:jc w:val="left"/>
    </w:pPr>
    <w:rPr>
      <w:rFonts w:eastAsiaTheme="minorHAnsi"/>
      <w:lang w:eastAsia="en-US"/>
    </w:rPr>
  </w:style>
  <w:style w:type="character" w:customStyle="1" w:styleId="IndentChar">
    <w:name w:val="Indent Char"/>
    <w:basedOn w:val="Phngmcinhcuaoanvn"/>
    <w:link w:val="Indent"/>
    <w:rsid w:val="00F96DBF"/>
    <w:rPr>
      <w:lang w:val="en-US"/>
    </w:rPr>
  </w:style>
  <w:style w:type="table" w:styleId="LiBang">
    <w:name w:val="Table Grid"/>
    <w:basedOn w:val="BangThngthng"/>
    <w:uiPriority w:val="59"/>
    <w:rsid w:val="00F96DBF"/>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Mucluc1">
    <w:name w:val="toc 1"/>
    <w:basedOn w:val="Binhthng"/>
    <w:next w:val="Binhthng"/>
    <w:autoRedefine/>
    <w:uiPriority w:val="39"/>
    <w:unhideWhenUsed/>
    <w:rsid w:val="00F96DBF"/>
    <w:pPr>
      <w:spacing w:after="100" w:line="276" w:lineRule="auto"/>
      <w:jc w:val="left"/>
    </w:pPr>
    <w:rPr>
      <w:rFonts w:eastAsiaTheme="minorHAnsi"/>
      <w:lang w:eastAsia="en-US"/>
    </w:rPr>
  </w:style>
  <w:style w:type="paragraph" w:styleId="Mucluc2">
    <w:name w:val="toc 2"/>
    <w:basedOn w:val="Binhthng"/>
    <w:next w:val="Binhthng"/>
    <w:autoRedefine/>
    <w:uiPriority w:val="39"/>
    <w:unhideWhenUsed/>
    <w:rsid w:val="00F96DBF"/>
    <w:pPr>
      <w:tabs>
        <w:tab w:val="right" w:leader="dot" w:pos="9062"/>
      </w:tabs>
      <w:spacing w:after="100" w:line="276" w:lineRule="auto"/>
      <w:ind w:left="260"/>
      <w:jc w:val="left"/>
    </w:pPr>
    <w:rPr>
      <w:rFonts w:eastAsiaTheme="minorHAnsi"/>
      <w:lang w:eastAsia="en-US"/>
    </w:rPr>
  </w:style>
  <w:style w:type="paragraph" w:styleId="Mucluc3">
    <w:name w:val="toc 3"/>
    <w:basedOn w:val="Binhthng"/>
    <w:next w:val="Binhthng"/>
    <w:autoRedefine/>
    <w:uiPriority w:val="39"/>
    <w:unhideWhenUsed/>
    <w:rsid w:val="00F96DBF"/>
    <w:pPr>
      <w:spacing w:after="100" w:line="276" w:lineRule="auto"/>
      <w:ind w:left="520"/>
      <w:jc w:val="left"/>
    </w:pPr>
    <w:rPr>
      <w:rFonts w:eastAsiaTheme="minorHAnsi"/>
      <w:lang w:eastAsia="en-US"/>
    </w:rPr>
  </w:style>
  <w:style w:type="character" w:styleId="Siuktni">
    <w:name w:val="Hyperlink"/>
    <w:basedOn w:val="Phngmcinhcuaoanvn"/>
    <w:uiPriority w:val="99"/>
    <w:unhideWhenUsed/>
    <w:rsid w:val="00F96DBF"/>
    <w:rPr>
      <w:color w:val="0563C1" w:themeColor="hyperlink"/>
      <w:u w:val="single"/>
    </w:rPr>
  </w:style>
  <w:style w:type="paragraph" w:customStyle="1" w:styleId="Small">
    <w:name w:val="Small"/>
    <w:basedOn w:val="Binhthng"/>
    <w:link w:val="SmallChar"/>
    <w:qFormat/>
    <w:rsid w:val="00F96DBF"/>
    <w:pPr>
      <w:spacing w:line="276" w:lineRule="auto"/>
      <w:jc w:val="left"/>
    </w:pPr>
    <w:rPr>
      <w:rFonts w:eastAsiaTheme="minorHAnsi"/>
      <w:sz w:val="20"/>
      <w:lang w:eastAsia="en-US"/>
    </w:rPr>
  </w:style>
  <w:style w:type="character" w:customStyle="1" w:styleId="SmallChar">
    <w:name w:val="Small Char"/>
    <w:basedOn w:val="Phngmcinhcuaoanvn"/>
    <w:link w:val="Small"/>
    <w:rsid w:val="00F96DBF"/>
    <w:rPr>
      <w:sz w:val="20"/>
      <w:lang w:val="en-US"/>
    </w:rPr>
  </w:style>
  <w:style w:type="paragraph" w:styleId="ThngthngWeb">
    <w:name w:val="Normal (Web)"/>
    <w:basedOn w:val="Binhthng"/>
    <w:unhideWhenUsed/>
    <w:rsid w:val="00F96DBF"/>
    <w:pPr>
      <w:spacing w:before="100" w:beforeAutospacing="1" w:after="100" w:afterAutospacing="1" w:line="276" w:lineRule="auto"/>
      <w:jc w:val="left"/>
    </w:pPr>
    <w:rPr>
      <w:rFonts w:eastAsiaTheme="minorHAnsi"/>
      <w:szCs w:val="24"/>
      <w:lang w:eastAsia="en-US"/>
    </w:rPr>
  </w:style>
  <w:style w:type="paragraph" w:styleId="ThutlThnVnban">
    <w:name w:val="Body Text Indent"/>
    <w:basedOn w:val="Binhthng"/>
    <w:link w:val="ThutlThnVnbanChar"/>
    <w:rsid w:val="00F96DBF"/>
    <w:pPr>
      <w:spacing w:line="276" w:lineRule="auto"/>
      <w:ind w:firstLine="567"/>
      <w:jc w:val="left"/>
    </w:pPr>
    <w:rPr>
      <w:rFonts w:ascii="VNI-Times" w:eastAsiaTheme="minorHAnsi" w:hAnsi="VNI-Times"/>
      <w:lang w:eastAsia="en-US"/>
    </w:rPr>
  </w:style>
  <w:style w:type="character" w:customStyle="1" w:styleId="ThutlThnVnbanChar">
    <w:name w:val="Thụt lề Thân Văn bản Char"/>
    <w:basedOn w:val="Phngmcinhcuaoanvn"/>
    <w:link w:val="ThutlThnVnban"/>
    <w:rsid w:val="00F96DBF"/>
    <w:rPr>
      <w:rFonts w:ascii="VNI-Times" w:hAnsi="VNI-Times"/>
      <w:lang w:val="en-US"/>
    </w:rPr>
  </w:style>
  <w:style w:type="character" w:styleId="VnbanChdanhsn">
    <w:name w:val="Placeholder Text"/>
    <w:basedOn w:val="Phngmcinhcuaoanvn"/>
    <w:uiPriority w:val="99"/>
    <w:semiHidden/>
    <w:rsid w:val="00F96DBF"/>
    <w:rPr>
      <w:color w:val="808080"/>
    </w:rPr>
  </w:style>
  <w:style w:type="paragraph" w:styleId="Tiu">
    <w:name w:val="Title"/>
    <w:basedOn w:val="Binhthng"/>
    <w:next w:val="Binhthng"/>
    <w:link w:val="TiuChar"/>
    <w:uiPriority w:val="10"/>
    <w:qFormat/>
    <w:rsid w:val="004110BA"/>
    <w:pPr>
      <w:spacing w:after="80" w:line="240" w:lineRule="auto"/>
      <w:contextualSpacing/>
      <w:jc w:val="left"/>
    </w:pPr>
    <w:rPr>
      <w:rFonts w:asciiTheme="majorHAnsi" w:eastAsiaTheme="majorEastAsia" w:hAnsiTheme="majorHAnsi" w:cstheme="majorBidi"/>
      <w:spacing w:val="-10"/>
      <w:kern w:val="28"/>
      <w:sz w:val="56"/>
      <w:szCs w:val="56"/>
      <w:lang w:eastAsia="en-US"/>
    </w:rPr>
  </w:style>
  <w:style w:type="character" w:customStyle="1" w:styleId="TiuChar">
    <w:name w:val="Tiêu đề Char"/>
    <w:basedOn w:val="Phngmcinhcuaoanvn"/>
    <w:link w:val="Tiu"/>
    <w:uiPriority w:val="10"/>
    <w:rsid w:val="004110BA"/>
    <w:rPr>
      <w:rFonts w:asciiTheme="majorHAnsi" w:eastAsiaTheme="majorEastAsia" w:hAnsiTheme="majorHAnsi" w:cstheme="majorBidi"/>
      <w:noProof/>
      <w:spacing w:val="-10"/>
      <w:kern w:val="28"/>
      <w:sz w:val="56"/>
      <w:szCs w:val="56"/>
    </w:rPr>
  </w:style>
  <w:style w:type="paragraph" w:styleId="Tiuphu">
    <w:name w:val="Subtitle"/>
    <w:basedOn w:val="Binhthng"/>
    <w:next w:val="Binhthng"/>
    <w:link w:val="TiuphuChar"/>
    <w:uiPriority w:val="11"/>
    <w:qFormat/>
    <w:rsid w:val="004110BA"/>
    <w:pPr>
      <w:numPr>
        <w:ilvl w:val="1"/>
      </w:numPr>
      <w:spacing w:after="160" w:line="276" w:lineRule="auto"/>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TiuphuChar">
    <w:name w:val="Tiêu đề phụ Char"/>
    <w:basedOn w:val="Phngmcinhcuaoanvn"/>
    <w:link w:val="Tiuphu"/>
    <w:uiPriority w:val="11"/>
    <w:rsid w:val="004110BA"/>
    <w:rPr>
      <w:rFonts w:asciiTheme="minorHAnsi" w:eastAsiaTheme="majorEastAsia" w:hAnsiTheme="minorHAnsi" w:cstheme="majorBidi"/>
      <w:noProof/>
      <w:color w:val="595959" w:themeColor="text1" w:themeTint="A6"/>
      <w:spacing w:val="15"/>
      <w:sz w:val="28"/>
      <w:szCs w:val="28"/>
    </w:rPr>
  </w:style>
  <w:style w:type="paragraph" w:styleId="Litrichdn">
    <w:name w:val="Quote"/>
    <w:basedOn w:val="Binhthng"/>
    <w:next w:val="Binhthng"/>
    <w:link w:val="LitrichdnChar"/>
    <w:uiPriority w:val="29"/>
    <w:qFormat/>
    <w:rsid w:val="004110BA"/>
    <w:pPr>
      <w:spacing w:before="160" w:after="160" w:line="276" w:lineRule="auto"/>
      <w:jc w:val="center"/>
    </w:pPr>
    <w:rPr>
      <w:rFonts w:eastAsiaTheme="minorHAnsi"/>
      <w:i/>
      <w:iCs/>
      <w:color w:val="404040" w:themeColor="text1" w:themeTint="BF"/>
      <w:lang w:eastAsia="en-US"/>
    </w:rPr>
  </w:style>
  <w:style w:type="character" w:customStyle="1" w:styleId="LitrichdnChar">
    <w:name w:val="Lời trích dẫn Char"/>
    <w:basedOn w:val="Phngmcinhcuaoanvn"/>
    <w:link w:val="Litrichdn"/>
    <w:uiPriority w:val="29"/>
    <w:rsid w:val="004110BA"/>
    <w:rPr>
      <w:i/>
      <w:iCs/>
      <w:noProof/>
      <w:color w:val="404040" w:themeColor="text1" w:themeTint="BF"/>
    </w:rPr>
  </w:style>
  <w:style w:type="character" w:styleId="NhnmnhThm">
    <w:name w:val="Intense Emphasis"/>
    <w:basedOn w:val="Phngmcinhcuaoanvn"/>
    <w:uiPriority w:val="21"/>
    <w:qFormat/>
    <w:rsid w:val="004110BA"/>
    <w:rPr>
      <w:i/>
      <w:iCs/>
      <w:color w:val="2F5496" w:themeColor="accent1" w:themeShade="BF"/>
    </w:rPr>
  </w:style>
  <w:style w:type="paragraph" w:styleId="Nhaykepm">
    <w:name w:val="Intense Quote"/>
    <w:basedOn w:val="Binhthng"/>
    <w:next w:val="Binhthng"/>
    <w:link w:val="NhaykepmChar"/>
    <w:uiPriority w:val="30"/>
    <w:qFormat/>
    <w:rsid w:val="004110BA"/>
    <w:pPr>
      <w:pBdr>
        <w:top w:val="single" w:sz="4" w:space="10" w:color="2F5496" w:themeColor="accent1" w:themeShade="BF"/>
        <w:bottom w:val="single" w:sz="4" w:space="10" w:color="2F5496" w:themeColor="accent1" w:themeShade="BF"/>
      </w:pBdr>
      <w:spacing w:before="360" w:after="360" w:line="276" w:lineRule="auto"/>
      <w:ind w:left="864" w:right="864"/>
      <w:jc w:val="center"/>
    </w:pPr>
    <w:rPr>
      <w:rFonts w:eastAsiaTheme="minorHAnsi"/>
      <w:i/>
      <w:iCs/>
      <w:color w:val="2F5496" w:themeColor="accent1" w:themeShade="BF"/>
      <w:lang w:eastAsia="en-US"/>
    </w:rPr>
  </w:style>
  <w:style w:type="character" w:customStyle="1" w:styleId="NhaykepmChar">
    <w:name w:val="Nháy kép Đậm Char"/>
    <w:basedOn w:val="Phngmcinhcuaoanvn"/>
    <w:link w:val="Nhaykepm"/>
    <w:uiPriority w:val="30"/>
    <w:rsid w:val="004110BA"/>
    <w:rPr>
      <w:i/>
      <w:iCs/>
      <w:noProof/>
      <w:color w:val="2F5496" w:themeColor="accent1" w:themeShade="BF"/>
    </w:rPr>
  </w:style>
  <w:style w:type="character" w:styleId="ThamchiuNhnmnh">
    <w:name w:val="Intense Reference"/>
    <w:basedOn w:val="Phngmcinhcuaoanvn"/>
    <w:uiPriority w:val="32"/>
    <w:qFormat/>
    <w:rsid w:val="004110BA"/>
    <w:rPr>
      <w:b/>
      <w:bCs/>
      <w:smallCaps/>
      <w:color w:val="2F5496" w:themeColor="accent1" w:themeShade="BF"/>
      <w:spacing w:val="5"/>
    </w:rPr>
  </w:style>
  <w:style w:type="table" w:styleId="BangThun5">
    <w:name w:val="Plain Table 5"/>
    <w:basedOn w:val="BangThngthng"/>
    <w:uiPriority w:val="45"/>
    <w:rsid w:val="00B22DF9"/>
    <w:pPr>
      <w:spacing w:after="0" w:line="240" w:lineRule="auto"/>
      <w:jc w:val="both"/>
    </w:pPr>
    <w:rPr>
      <w:rFonts w:eastAsia="Times New Roman"/>
      <w:lang w:val="vi" w:eastAsia="vi-V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Chung"/>
          <w:gallery w:val="placeholder"/>
        </w:category>
        <w:types>
          <w:type w:val="bbPlcHdr"/>
        </w:types>
        <w:behaviors>
          <w:behavior w:val="content"/>
        </w:behaviors>
        <w:guid w:val="{59635BA4-F86E-4E41-8B48-58216A1AAC00}"/>
      </w:docPartPr>
      <w:docPartBody>
        <w:p w:rsidR="00892C8A" w:rsidRDefault="00AF3BB8">
          <w:r w:rsidRPr="00ED39B8">
            <w:rPr>
              <w:rStyle w:val="VnbanChdanhsn"/>
              <w:lang w:eastAsia="en-US"/>
            </w:rPr>
            <w:t>Bấm hoặc gõ nhẹ vào đây để nhập văn bản.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Cambria Math">
    <w:panose1 w:val="02040503050406030204"/>
    <w:charset w:val="A3"/>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B8"/>
    <w:rsid w:val="00166D9D"/>
    <w:rsid w:val="002B4355"/>
    <w:rsid w:val="0038269A"/>
    <w:rsid w:val="00892C8A"/>
    <w:rsid w:val="00AF3BB8"/>
    <w:rsid w:val="00B22FA4"/>
    <w:rsid w:val="00D36E6B"/>
    <w:rsid w:val="00D97B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VnbanChdanhsn">
    <w:name w:val="Placeholder Text"/>
    <w:basedOn w:val="Phngmcinhcuaoanvn"/>
    <w:uiPriority w:val="99"/>
    <w:semiHidden/>
    <w:rsid w:val="00AF3BB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1F7676-854B-44CA-9BD4-7A22D69F579C}">
  <we:reference id="wa104382081" version="1.55.1.0" store="vi-VN" storeType="OMEX"/>
  <we:alternateReferences>
    <we:reference id="wa104382081" version="1.55.1.0" store="wa104382081" storeType="OMEX"/>
  </we:alternateReferences>
  <we:properties>
    <we:property name="MENDELEY_BIBLIOGRAPHY_IS_DIRTY" value="true"/>
    <we:property name="MENDELEY_BIBLIOGRAPHY_LAST_MODIFIED" value="1781775441365"/>
    <we:property name="MENDELEY_CITATIONS" value="[{&quot;citationID&quot;:&quot;MENDELEY_CITATION_bb6c25f7-b27f-43fd-9a56-ba112ebaac87&quot;,&quot;properties&quot;:{&quot;noteIndex&quot;:0},&quot;isEdited&quot;:false,&quot;manualOverride&quot;:{&quot;isManuallyOverridden&quot;:false,&quot;citeprocText&quot;:&quot;[1]&quot;,&quot;manualOverrideText&quot;:&quot;&quot;},&quot;citationTag&quot;:&quot;MENDELEY_CITATION_v3_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&quot;,&quot;citationItems&quot;:[{&quot;id&quot;:&quot;30320899-7937-3d96-bc68-d4294d8b3d37&quot;,&quot;itemData&quot;:{&quot;type&quot;:&quot;article-journal&quot;,&quot;id&quot;:&quot;30320899-7937-3d96-bc68-d4294d8b3d37&quot;,&quot;title&quot;:&quot;Kronos: A Foundation Model for the Language of Financial Markets&quot;,&quot;author&quot;:[{&quot;family&quot;:&quot;Shi&quot;,&quot;given&quot;:&quot;Yu&quot;,&quot;parse-names&quot;:false,&quot;dropping-particle&quot;:&quot;&quot;,&quot;non-dropping-particle&quot;:&quot;&quot;},{&quot;family&quot;:&quot;Fu&quot;,&quot;given&quot;:&quot;Zongliang&quot;,&quot;parse-names&quot;:false,&quot;dropping-particle&quot;:&quot;&quot;,&quot;non-dropping-particle&quot;:&quot;&quot;},{&quot;family&quot;:&quot;Chen&quot;,&quot;given&quot;:&quot;Shuo&quot;,&quot;parse-names&quot;:false,&quot;dropping-particle&quot;:&quot;&quot;,&quot;non-dropping-particle&quot;:&quot;&quot;},{&quot;family&quot;:&quot;Zhao&quot;,&quot;given&quot;:&quot;Bohan&quot;,&quot;parse-names&quot;:false,&quot;dropping-particle&quot;:&quot;&quot;,&quot;non-dropping-particle&quot;:&quot;&quot;},{&quot;family&quot;:&quot;Xu&quot;,&quot;given&quot;:&quot;Wei&quot;,&quot;parse-names&quot;:false,&quot;dropping-particle&quot;:&quot;&quot;,&quot;non-dropping-particle&quot;:&quot;&quot;},{&quot;family&quot;:&quot;Zhang&quot;,&quot;given&quot;:&quot;Changshui&quot;,&quot;parse-names&quot;:false,&quot;dropping-particle&quot;:&quot;&quot;,&quot;non-dropping-particle&quot;:&quot;&quot;},{&quot;family&quot;:&quot;Li&quot;,&quot;given&quot;:&quot;Jian&quot;,&quot;parse-names&quot;:false,&quot;dropping-particle&quot;:&quot;&quot;,&quot;non-dropping-particle&quot;:&quot;&quot;}],&quot;accessed&quot;:{&quot;date-parts&quot;:[[2026,6,18]]},&quot;DOI&quot;:&quot;10.1609/aaai.v40i30.39730&quot;,&quot;ISBN&quot;:&quot;2508.02739v1&quot;,&quot;ISSN&quot;:&quot;23743468&quot;,&quot;URL&quot;:&quot;https://arxiv.org/pdf/2508.02739&quot;,&quot;issued&quot;:{&quot;date-parts&quot;:[[2025,8,2]]},&quot;abstract&quot;:&quot;The success of large-scale pre-training paradigm, exemplified by Large Language Models (LLMs), has inspired the development of Time Series Foundation Models (TSFMs). However, their application to financial candlestick (K-line) data remains limited, often underperforming non-pre-trained architectures. Moreover, existing TSFMs often overlook crucial downstream tasks such as volatility prediction and synthetic data generation. To address these limitations, we propose Kronos, a unified, scalable pre-training framework tailored to financial K-line modeling. Kronos introduces a specialized tokenizer that discretizes continuous market information into token sequences, preserving both price dynamics and trade activity patterns. We pre-train Kronos using an autoregressive objective on a massive, multi-market corpus of over 12 billion K-line records from 45 global exchanges, enabling it to learn nuanced temporal and cross-asset representations. Kronos excels in a zero-shot setting across a diverse set of financial tasks. On benchmark datasets, Kronos boosts price series forecasting RankIC by 93% over the leading TSFM and 87% over the best non-pre-trained baseline. It also achieves a 9% lower MAE in volatility forecasting and a 22% improvement in generative fidelity for synthetic K-line sequences. These results establish Kronos as a robust, versatile foundation model for end-to-end financial time series analysis. Our pre-trained model is publicly available at https://github.com/shiyu-coder/Kronos.&quot;,&quot;container-title-short&quot;:&quot;&quot;},&quot;isTemporary&quot;:false}]},{&quot;citationID&quot;:&quot;MENDELEY_CITATION_51dedf68-d07d-46ab-b12d-5e763d5c24e0&quot;,&quot;properties&quot;:{&quot;noteIndex&quot;:0},&quot;isEdited&quot;:false,&quot;manualOverride&quot;:{&quot;isManuallyOverridden&quot;:false,&quot;citeprocText&quot;:&quot;[2]&quot;,&quot;manualOverrideText&quot;:&quot;&quot;},&quot;citationTag&quot;:&quot;MENDELEY_CITATION_v3_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&quot;,&quot;citationItems&quot;:[{&quot;id&quot;:&quot;5a99a6d0-4b79-32b8-8062-40947f61fe10&quot;,&quot;itemData&quot;:{&quot;type&quot;:&quot;article-journal&quot;,&quot;id&quot;:&quot;5a99a6d0-4b79-32b8-8062-40947f61fe10&quot;,&quot;title&quot;:&quot;CUMULATIVE INDEX PERFORMANCE-NET RETURNS (USD) (MAY 2011-MAY 2026) ANNUAL PERFORMANCE (%) Year MSCI Vietnam MSCI Frontier Markets MSCI INDEX PERFORMANCE-NET RETURNS (%) (MAY 29, 2026)&quot;,&quot;author&quot;:[{&quot;family&quot;:&quot;Ytd&quot;,&quot;given&quot;:&quot;Yr&quot;,&quot;parse-names&quot;:false,&quot;dropping-particle&quot;:&quot;&quot;,&quot;non-dropping-particle&quot;:&quot;&quot;},{&quot;family&quot;:&quot;Since&quot;,&quot;given&quot;:&quot;Yr&quot;,&quot;parse-names&quot;:false,&quot;dropping-particle&quot;:&quot;&quot;,&quot;non-dropping-particle&quot;:&quot;&quot;}],&quot;accessed&quot;:{&quot;date-parts&quot;:[[2026,6,18]]},&quot;URL&quot;:&quot;https://www.msci.com/&quot;,&quot;issued&quot;:{&quot;date-parts&quot;:[[2021]]},&quot;page&quot;:&quot;5&quot;,&quot;abstract&quot;:&quot;Index Factsheet MSCI Vietnam Index (USD) MSCI Vietnam Index (USD) | msci.com The MSCI Vietnam Index is designed to measure the performance of the large and mid cap segments of the Vietnamese market. With 69 constituents, the index covers approximately 85% of the Vietnam equity universe. For a complete description of the index methodology, please see Index methodology-MSCI.&quot;,&quot;volume&quot;:&quot;20&quot;,&quot;container-title-short&quot;:&quot;&quot;},&quot;isTemporary&quot;:false}]},{&quot;citationID&quot;:&quot;MENDELEY_CITATION_c3d23bae-9be9-4db2-a3b6-157830d7e0c7&quot;,&quot;properties&quot;:{&quot;noteIndex&quot;:0},&quot;isEdited&quot;:false,&quot;manualOverride&quot;:{&quot;isManuallyOverridden&quot;:false,&quot;citeprocText&quot;:&quot;[2]&quot;,&quot;manualOverrideText&quot;:&quot;&quot;},&quot;citationTag&quot;:&quot;MENDELEY_CITATION_v3_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&quot;,&quot;citationItems&quot;:[{&quot;id&quot;:&quot;5a99a6d0-4b79-32b8-8062-40947f61fe10&quot;,&quot;itemData&quot;:{&quot;type&quot;:&quot;article-journal&quot;,&quot;id&quot;:&quot;5a99a6d0-4b79-32b8-8062-40947f61fe10&quot;,&quot;title&quot;:&quot;CUMULATIVE INDEX PERFORMANCE-NET RETURNS (USD) (MAY 2011-MAY 2026) ANNUAL PERFORMANCE (%) Year MSCI Vietnam MSCI Frontier Markets MSCI INDEX PERFORMANCE-NET RETURNS (%) (MAY 29, 2026)&quot;,&quot;author&quot;:[{&quot;family&quot;:&quot;Ytd&quot;,&quot;given&quot;:&quot;Yr&quot;,&quot;parse-names&quot;:false,&quot;dropping-particle&quot;:&quot;&quot;,&quot;non-dropping-particle&quot;:&quot;&quot;},{&quot;family&quot;:&quot;Since&quot;,&quot;given&quot;:&quot;Yr&quot;,&quot;parse-names&quot;:false,&quot;dropping-particle&quot;:&quot;&quot;,&quot;non-dropping-particle&quot;:&quot;&quot;}],&quot;accessed&quot;:{&quot;date-parts&quot;:[[2026,6,18]]},&quot;URL&quot;:&quot;https://www.msci.com/&quot;,&quot;issued&quot;:{&quot;date-parts&quot;:[[2021]]},&quot;page&quot;:&quot;5&quot;,&quot;abstract&quot;:&quot;Index Factsheet MSCI Vietnam Index (USD) MSCI Vietnam Index (USD) | msci.com The MSCI Vietnam Index is designed to measure the performance of the large and mid cap segments of the Vietnamese market. With 69 constituents, the index covers approximately 85% of the Vietnam equity universe. For a complete description of the index methodology, please see Index methodology-MSCI.&quot;,&quot;volume&quot;:&quot;20&quot;,&quot;container-title-short&quot;:&quot;&quot;},&quot;isTemporary&quot;:false}]},{&quot;citationID&quot;:&quot;MENDELEY_CITATION_4bda84af-8c71-4498-8090-e2a7abf5ceb2&quot;,&quot;properties&quot;:{&quot;noteIndex&quot;:0},&quot;isEdited&quot;:false,&quot;manualOverride&quot;:{&quot;isManuallyOverridden&quot;:false,&quot;citeprocText&quot;:&quot;[3]&quot;,&quot;manualOverrideText&quot;:&quot;&quot;},&quot;citationTag&quot;:&quot;MENDELEY_CITATION_v3_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&quot;,&quot;citationItems&quot;:[{&quot;id&quot;:&quot;8bc82511-14dc-3ec4-aa8e-0f35035ed673&quot;,&quot;itemData&quot;:{&quot;type&quot;:&quot;webpage&quot;,&quot;id&quot;:&quot;8bc82511-14dc-3ec4-aa8e-0f35035ed673&quot;,&quot;title&quot;:&quot;Quy chế giao dịch chứng khoán tại sàn HOSE (mới nhất)&quot;,&quot;accessed&quot;:{&quot;date-parts&quot;:[[2026,6,18]]},&quot;URL&quot;:&quot;https://thuvienphapluat.vn/phap-luat-doanh-nghiep/bai-viet/quy-che-giao-dich-chung-khoan-tai-san-hose-moi-nhat-6495.html&quot;,&quot;container-title-short&quot;:&quot;&quot;},&quot;isTemporary&quot;:false}]},{&quot;citationID&quot;:&quot;MENDELEY_CITATION_25e305a5-e48a-4d54-bf3f-50a05716bdc3&quot;,&quot;properties&quot;:{&quot;noteIndex&quot;:0},&quot;isEdited&quot;:false,&quot;manualOverride&quot;:{&quot;isManuallyOverridden&quot;:false,&quot;citeprocText&quot;:&quot;[4]&quot;,&quot;manualOverrideText&quot;:&quot;&quot;},&quot;citationTag&quot;:&quot;MENDELEY_CITATION_v3_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&quot;,&quot;citationItems&quot;:[{&quot;id&quot;:&quot;0df82d77-fd4c-312d-8bc7-c8aa7c744adc&quot;,&quot;itemData&quot;:{&quot;type&quot;:&quot;webpage&quot;,&quot;id&quot;:&quot;0df82d77-fd4c-312d-8bc7-c8aa7c744adc&quot;,&quot;title&quot;:&quot;Thông tư 120/2020/TT-BTC giao dịch cổ phiếu niêm yết đăng ký giao dịch chứng khoán chứng chỉ quỹ mới nhất&quot;,&quot;accessed&quot;:{&quot;date-parts&quot;:[[2026,6,18]]},&quot;URL&quot;:&quot;https://thuvienphapluat.vn/van-ban/Chung-khoan/Thong-tu-120-2020-TT-BTC-giao-dich-co-phieu-niem-yet-dang-ky-giao-dich-chung-khoan-chung-chi-quy-451134.aspx&quot;,&quot;container-title-short&quot;:&quot;&quot;},&quot;isTemporary&quot;:false}]},{&quot;citationID&quot;:&quot;MENDELEY_CITATION_0eb83f1f-0f22-47a1-a98d-27f07b9c8340&quot;,&quot;properties&quot;:{&quot;noteIndex&quot;:0},&quot;isEdited&quot;:false,&quot;manualOverride&quot;:{&quot;isManuallyOverridden&quot;:false,&quot;citeprocText&quot;:&quot;[3]&quot;,&quot;manualOverrideText&quot;:&quot;&quot;},&quot;citationTag&quot;:&quot;MENDELEY_CITATION_v3_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&quot;,&quot;citationItems&quot;:[{&quot;id&quot;:&quot;8bc82511-14dc-3ec4-aa8e-0f35035ed673&quot;,&quot;itemData&quot;:{&quot;type&quot;:&quot;webpage&quot;,&quot;id&quot;:&quot;8bc82511-14dc-3ec4-aa8e-0f35035ed673&quot;,&quot;title&quot;:&quot;Quy chế giao dịch chứng khoán tại sàn HOSE (mới nhất)&quot;,&quot;accessed&quot;:{&quot;date-parts&quot;:[[2026,6,18]]},&quot;URL&quot;:&quot;https://thuvienphapluat.vn/phap-luat-doanh-nghiep/bai-viet/quy-che-giao-dich-chung-khoan-tai-san-hose-moi-nhat-6495.html&quot;,&quot;container-title-short&quot;:&quot;&quot;},&quot;isTemporary&quot;:false}]},{&quot;citationID&quot;:&quot;MENDELEY_CITATION_e56fa9bf-854a-49d7-92a5-33b60add68f1&quot;,&quot;properties&quot;:{&quot;noteIndex&quot;:0},&quot;isEdited&quot;:false,&quot;manualOverride&quot;:{&quot;isManuallyOverridden&quot;:false,&quot;citeprocText&quot;:&quot;[2]&quot;,&quot;manualOverrideText&quot;:&quot;&quot;},&quot;citationTag&quot;:&quot;MENDELEY_CITATION_v3_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&quot;,&quot;citationItems&quot;:[{&quot;id&quot;:&quot;5a99a6d0-4b79-32b8-8062-40947f61fe10&quot;,&quot;itemData&quot;:{&quot;type&quot;:&quot;article-journal&quot;,&quot;id&quot;:&quot;5a99a6d0-4b79-32b8-8062-40947f61fe10&quot;,&quot;title&quot;:&quot;CUMULATIVE INDEX PERFORMANCE-NET RETURNS (USD) (MAY 2011-MAY 2026) ANNUAL PERFORMANCE (%) Year MSCI Vietnam MSCI Frontier Markets MSCI INDEX PERFORMANCE-NET RETURNS (%) (MAY 29, 2026)&quot;,&quot;author&quot;:[{&quot;family&quot;:&quot;Ytd&quot;,&quot;given&quot;:&quot;Yr&quot;,&quot;parse-names&quot;:false,&quot;dropping-particle&quot;:&quot;&quot;,&quot;non-dropping-particle&quot;:&quot;&quot;},{&quot;family&quot;:&quot;Since&quot;,&quot;given&quot;:&quot;Yr&quot;,&quot;parse-names&quot;:false,&quot;dropping-particle&quot;:&quot;&quot;,&quot;non-dropping-particle&quot;:&quot;&quot;}],&quot;accessed&quot;:{&quot;date-parts&quot;:[[2026,6,18]]},&quot;URL&quot;:&quot;https://www.msci.com/&quot;,&quot;issued&quot;:{&quot;date-parts&quot;:[[2021]]},&quot;page&quot;:&quot;5&quot;,&quot;abstract&quot;:&quot;Index Factsheet MSCI Vietnam Index (USD) MSCI Vietnam Index (USD) | msci.com The MSCI Vietnam Index is designed to measure the performance of the large and mid cap segments of the Vietnamese market. With 69 constituents, the index covers approximately 85% of the Vietnam equity universe. For a complete description of the index methodology, please see Index methodology-MSCI.&quot;,&quot;volume&quot;:&quot;20&quot;,&quot;container-title-short&quot;:&quot;&quot;},&quot;isTemporary&quot;:false}]},{&quot;citationID&quot;:&quot;MENDELEY_CITATION_967a903a-a42c-49ad-b4f9-2b9ce00368fb&quot;,&quot;properties&quot;:{&quot;noteIndex&quot;:0},&quot;isEdited&quot;:false,&quot;manualOverride&quot;:{&quot;isManuallyOverridden&quot;:false,&quot;citeprocText&quot;:&quot;[3]&quot;,&quot;manualOverrideText&quot;:&quot;&quot;},&quot;citationTag&quot;:&quot;MENDELEY_CITATION_v3_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&quot;,&quot;citationItems&quot;:[{&quot;id&quot;:&quot;8bc82511-14dc-3ec4-aa8e-0f35035ed673&quot;,&quot;itemData&quot;:{&quot;type&quot;:&quot;webpage&quot;,&quot;id&quot;:&quot;8bc82511-14dc-3ec4-aa8e-0f35035ed673&quot;,&quot;title&quot;:&quot;Quy chế giao dịch chứng khoán tại sàn HOSE (mới nhất)&quot;,&quot;accessed&quot;:{&quot;date-parts&quot;:[[2026,6,18]]},&quot;URL&quot;:&quot;https://thuvienphapluat.vn/phap-luat-doanh-nghiep/bai-viet/quy-che-giao-dich-chung-khoan-tai-san-hose-moi-nhat-6495.html&quot;,&quot;container-title-short&quot;:&quot;&quot;},&quot;isTemporary&quot;:false}]},{&quot;citationID&quot;:&quot;MENDELEY_CITATION_70abd266-172b-4254-9e82-37ed1f2d5405&quot;,&quot;properties&quot;:{&quot;noteIndex&quot;:0},&quot;isEdited&quot;:false,&quot;manualOverride&quot;:{&quot;isManuallyOverridden&quot;:false,&quot;citeprocText&quot;:&quot;[3]&quot;,&quot;manualOverrideText&quot;:&quot;&quot;},&quot;citationTag&quot;:&quot;MENDELEY_CITATION_v3_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&quot;,&quot;citationItems&quot;:[{&quot;id&quot;:&quot;8bc82511-14dc-3ec4-aa8e-0f35035ed673&quot;,&quot;itemData&quot;:{&quot;type&quot;:&quot;webpage&quot;,&quot;id&quot;:&quot;8bc82511-14dc-3ec4-aa8e-0f35035ed673&quot;,&quot;title&quot;:&quot;Quy chế giao dịch chứng khoán tại sàn HOSE (mới nhất)&quot;,&quot;accessed&quot;:{&quot;date-parts&quot;:[[2026,6,18]]},&quot;URL&quot;:&quot;https://thuvienphapluat.vn/phap-luat-doanh-nghiep/bai-viet/quy-che-giao-dich-chung-khoan-tai-san-hose-moi-nhat-6495.html&quot;,&quot;container-title-short&quot;:&quot;&quot;},&quot;isTemporary&quot;:false}]},{&quot;citationID&quot;:&quot;MENDELEY_CITATION_f7b35b6d-d3f5-4d66-8159-18ae2df2541e&quot;,&quot;properties&quot;:{&quot;noteIndex&quot;:0},&quot;isEdited&quot;:false,&quot;manualOverride&quot;:{&quot;isManuallyOverridden&quot;:false,&quot;citeprocText&quot;:&quot;[3]&quot;,&quot;manualOverrideText&quot;:&quot;&quot;},&quot;citationTag&quot;:&quot;MENDELEY_CITATION_v3_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&quot;,&quot;citationItems&quot;:[{&quot;id&quot;:&quot;8bc82511-14dc-3ec4-aa8e-0f35035ed673&quot;,&quot;itemData&quot;:{&quot;type&quot;:&quot;webpage&quot;,&quot;id&quot;:&quot;8bc82511-14dc-3ec4-aa8e-0f35035ed673&quot;,&quot;title&quot;:&quot;Quy chế giao dịch chứng khoán tại sàn HOSE (mới nhất)&quot;,&quot;accessed&quot;:{&quot;date-parts&quot;:[[2026,6,18]]},&quot;URL&quot;:&quot;https://thuvienphapluat.vn/phap-luat-doanh-nghiep/bai-viet/quy-che-giao-dich-chung-khoan-tai-san-hose-moi-nhat-6495.html&quot;,&quot;container-title-short&quot;:&quot;&quot;},&quot;isTemporary&quot;:false}]},{&quot;citationID&quot;:&quot;MENDELEY_CITATION_b7f79c30-9317-4237-b30e-aab4030f4f3e&quot;,&quot;properties&quot;:{&quot;noteIndex&quot;:0},&quot;isEdited&quot;:false,&quot;manualOverride&quot;:{&quot;isManuallyOverridden&quot;:false,&quot;citeprocText&quot;:&quot;[5]&quot;,&quot;manualOverrideText&quot;:&quot;&quot;},&quot;citationTag&quot;:&quot;MENDELEY_CITATION_v3_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&quot;,&quot;citationItems&quot;:[{&quot;id&quot;:&quot;405bd26e-16fd-33e4-ac51-78e28f578d6e&quot;,&quot;itemData&quot;:{&quot;type&quot;:&quot;article-journal&quot;,&quot;id&quot;:&quot;405bd26e-16fd-33e4-ac51-78e28f578d6e&quot;,&quot;title&quot;:&quot;Định vị Nguồn vốn cho Mục tiêu&quot;,&quot;accessed&quot;:{&quot;date-parts&quot;:[[2026,6,18]]},&quot;container-title-short&quot;:&quot;&quot;},&quot;isTemporary&quot;:false}]},{&quot;citationID&quot;:&quot;MENDELEY_CITATION_1f165a4b-eb15-46fc-b6fc-728343d8c068&quot;,&quot;properties&quot;:{&quot;noteIndex&quot;:0},&quot;isEdited&quot;:false,&quot;manualOverride&quot;:{&quot;isManuallyOverridden&quot;:false,&quot;citeprocText&quot;:&quot;[6]&quot;,&quot;manualOverrideText&quot;:&quot;&quot;},&quot;citationTag&quot;:&quot;MENDELEY_CITATION_v3_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&quot;,&quot;citationItems&quot;:[{&quot;id&quot;:&quot;91a3d0ca-b59c-3ba4-a5ef-6b282fd926e1&quot;,&quot;itemData&quot;:{&quot;type&quot;:&quot;article-journal&quot;,&quot;id&quot;:&quot;91a3d0ca-b59c-3ba4-a5ef-6b282fd926e1&quot;,&quot;title&quot;:&quot;Financial Data Analysis Using Python&quot;,&quot;author&quot;:[{&quot;family&quot;:&quot;Zherlitsyn&quot;,&quot;given&quot;:&quot;Dmytro&quot;,&quot;parse-names&quot;:false,&quot;dropping-particle&quot;:&quot;&quot;,&quot;non-dropping-particle&quot;:&quot;&quot;}],&quot;container-title&quot;:&quot;Financial Data Analysis Using Python&quot;,&quot;accessed&quot;:{&quot;date-parts&quot;:[[2026,6,18]]},&quot;DOI&quot;:&quot;10.1515/9781501521843/HTML&quot;,&quot;ISBN&quot;:&quot;9781501521843&quot;,&quot;URL&quot;:&quot;https://vnstocks.com/docs/tai-lieu/lich-su-phien-ban&quot;,&quot;issued&quot;:{&quot;date-parts&quot;:[[2025,1,1]]},&quot;page&quot;:&quot;1-480&quot;,&quot;abstract&quot;:&quot;This book will introduce essential concepts in financial analysis methods &amp; models, covering time-series analysis, graphical analysis, technical and fundamental analysis, asset pricing and portfolio theory, investment and trade strategies, risk assessment and prediction, and financial ML practices. The Python programming language and its ecosystem libraries, such as Pandas, NumPy, SciPy, statsmodels, Matplotlib, Seaborn, Scikit-learn, Prophet, and other data science tools will demonstrate these rooted financial concepts in practice examples. This book will also help you understand the concepts of financial market dynamics, estimate the metrics of financial asset profitability, predict trends, evaluate strategies, optimize portfolios, and manage financial risks. You will also learn data analysis techniques using the Python programming language to understand the basics of data preparation, visualization, and manipulation in the world of financial data. FEATURES • Illustrates financial data analysis using Python data science libraries &amp; techniques • Uses Python visualization tools to justify investment and trading strategies • Covers asset pricing &amp; portfolio management methods with Python.&quot;,&quot;publisher&quot;:&quot;De Gruyter&quot;,&quot;container-title-short&quot;:&quot;&quot;},&quot;isTemporary&quot;:false}]},{&quot;citationID&quot;:&quot;MENDELEY_CITATION_a1db41f1-ee47-4a3a-9c11-0abaae558d64&quot;,&quot;properties&quot;:{&quot;noteIndex&quot;:0},&quot;isEdited&quot;:false,&quot;manualOverride&quot;:{&quot;isManuallyOverridden&quot;:false,&quot;citeprocText&quot;:&quot;[7]&quot;,&quot;manualOverrideText&quot;:&quot;&quot;},&quot;citationTag&quot;:&quot;MENDELEY_CITATION_v3_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&quot;,&quot;citationItems&quot;:[{&quot;id&quot;:&quot;0fc0df4a-10ff-324b-87ad-02deb3f13699&quot;,&quot;itemData&quot;:{&quot;type&quot;:&quot;article-journal&quot;,&quot;id&quot;:&quot;0fc0df4a-10ff-324b-87ad-02deb3f13699&quot;,&quot;title&quot;:&quot;Autoregressive Conditional Heteroscedasticity with Estimates of the Variance of United Kingdom Inflation&quot;,&quot;author&quot;:[{&quot;family&quot;:&quot;Engle&quot;,&quot;given&quot;:&quot;Robert F.&quot;,&quot;parse-names&quot;:false,&quot;dropping-particle&quot;:&quot;&quot;,&quot;non-dropping-particle&quot;:&quot;&quot;}],&quot;container-title&quot;:&quot;Econometrica&quot;,&quot;accessed&quot;:{&quot;date-parts&quot;:[[2026,6,18]]},&quot;DOI&quot;:&quot;10.2307/1912773&quot;,&quot;ISSN&quot;:&quot;00129682&quot;,&quot;issued&quot;:{&quot;date-parts&quot;:[[1982,7]]},&quot;page&quot;:&quot;987&quot;,&quot;abstract&quot;:&quot;Traditional econometric models assume a constant one-period forecast variance. To generalize this implausible assumption, a new class of stochastic processes called autore-gressive conditional heteroscedastic (ARCH) processes are introduced in this paper. These are mean zero, serially uncorrelated processes with nonconstant variances conditional on the past, but constant unconditional variances. For such processes, the recent past gives information about the one-period forecast variance. A regression model is then introduced with disturbances following an ARCH process. Maximum likelihood estimators are described and a simple scoring iteration formulated. Ordinary least squares maintains its optimality properties in this set-up, but maximum likelihood is more efficient. The relative efficiency is calculated and can be infinite. To test whether the disturbances follow an ARCH process, the Lagrange multiplier procedure is employed. The test is based simply on the autocorrelation of the squared OLS residuals. This model is used to estimate the means and variances of inflation in the U.K. The ARCH effect is found to be significant and the estimated variances increase substantially during the chaotic seventies.&quot;,&quot;publisher&quot;:&quot;JSTOR&quot;,&quot;issue&quot;:&quot;4&quot;,&quot;volume&quot;:&quot;50&quot;,&quot;container-title-short&quot;:&quot;&quot;},&quot;isTemporary&quot;:false}]},{&quot;citationID&quot;:&quot;MENDELEY_CITATION_29f21c5f-13cc-47fd-8874-9c2bceee8920&quot;,&quot;properties&quot;:{&quot;noteIndex&quot;:0},&quot;isEdited&quot;:false,&quot;manualOverride&quot;:{&quot;isManuallyOverridden&quot;:false,&quot;citeprocText&quot;:&quot;[8]&quot;,&quot;manualOverrideText&quot;:&quot;&quot;},&quot;citationTag&quot;:&quot;MENDELEY_CITATION_v3_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cHVibGlzaGVyIjoiU3ByaW5nZXIiLCJpc3N1ZSI6IjEiLCJ2b2x1bWUiOiI0NSJ9LCJpc1RlbXBvcmFyeSI6ZmFsc2V9XX0=&quot;,&quot;citationItems&quot;:[{&quot;id&quot;:&quot;56b69e4b-5ed6-393e-bc62-a5858ca8aff0&quot;,&quot;itemData&quot;:{&quot;type&quot;:&quot;article-journal&quot;,&quot;id&quot;:&quot;56b69e4b-5ed6-393e-bc62-a5858ca8aff0&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accessed&quot;:{&quot;date-parts&quot;:[[2026,6,18]]},&quot;DOI&quot;:&quot;10.1023/A:1010933404324/METRICS&quot;,&quot;ISSN&quot;:&quot;08856125&quot;,&quot;URL&quot;:&quot;https://link.springer.com/article/10.1023/A:1010933404324&quot;,&quot;issued&quot;:{&quot;date-parts&quot;:[[2001,10]]},&quot;page&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publisher&quot;:&quot;Springer&quot;,&quot;issue&quot;:&quot;1&quot;,&quot;volume&quot;:&quot;45&quot;},&quot;isTemporary&quot;:false}]},{&quot;citationID&quot;:&quot;MENDELEY_CITATION_9bf55fe1-e94a-4444-ac92-f1d2eec9a729&quot;,&quot;properties&quot;:{&quot;noteIndex&quot;:0},&quot;isEdited&quot;:false,&quot;manualOverride&quot;:{&quot;isManuallyOverridden&quot;:false,&quot;citeprocText&quot;:&quot;[9]&quot;,&quot;manualOverrideText&quot;:&quot;&quot;},&quot;citationTag&quot;:&quot;MENDELEY_CITATION_v3_eyJjaXRhdGlvbklEIjoiTUVOREVMRVlfQ0lUQVRJT05fOWJmNTVmZTEtZTk0YS00NDQ0LWFjOTItZjFkMmVlYzlhNzI5IiwicHJvcGVydGllcyI6eyJub3RlSW5kZXgiOjB9LCJpc0VkaXRlZCI6ZmFsc2UsIm1hbnVhbE92ZXJyaWRlIjp7ImlzTWFudWFsbHlPdmVycmlkZGVuIjpmYWxzZSwiY2l0ZXByb2NUZXh0IjoiWzldIiwibWFudWFsT3ZlcnJpZGVUZXh0IjoiIn0sImNpdGF0aW9uSXRlbXMiOlt7ImlkIjoiYTIxZTdiZDktOWE1Mi0zYWVhLWFiNDYtMTY4ZjA1M2YyYjk5IiwiaXRlbURhdGEiOnsidHlwZSI6ImFydGljbGUtam91cm5hbCIsImlkIjoiYTIxZTdiZDktOWE1Mi0zYWVhLWFiNDYtMTY4ZjA1M2YyYjk5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&quot;,&quot;citationItems&quot;:[{&quot;id&quot;:&quot;a21e7bd9-9a52-3aea-ab46-168f053f2b99&quot;,&quot;itemData&quot;:{&quot;type&quot;:&quot;article-journal&quot;,&quot;id&quot;:&quot;a21e7bd9-9a52-3aea-ab46-168f053f2b99&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accessed&quot;:{&quot;date-parts&quot;:[[2026,6,18]]},&quot;DOI&quot;:&quot;10.1162/NECO.1997.9.8.1735&quot;,&quot;ISSN&quot;:&quot;08997667&quot;,&quot;PMID&quot;:&quot;9377276&quot;,&quot;URL&quot;:&quot;https://www.researchgate.net/publication/13853244_Long_Short-Term_Memory&quot;,&quot;issued&quot;:{&quot;date-parts&quot;:[[1997,11,15]]},&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publisher&quot;:&quot;MIT Press Journals&quot;,&quot;issue&quot;:&quot;8&quot;,&quot;volume&quot;:&quot;9&quot;},&quot;isTemporary&quot;:false}]},{&quot;citationID&quot;:&quot;MENDELEY_CITATION_48e97c7f-eec0-49bf-b642-a460f7cdbd21&quot;,&quot;properties&quot;:{&quot;noteIndex&quot;:0},&quot;isEdited&quot;:false,&quot;manualOverride&quot;:{&quot;isManuallyOverridden&quot;:false,&quot;citeprocText&quot;:&quot;[1]&quot;,&quot;manualOverrideText&quot;:&quot;&quot;},&quot;citationTag&quot;:&quot;MENDELEY_CITATION_v3_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&quot;,&quot;citationItems&quot;:[{&quot;id&quot;:&quot;30320899-7937-3d96-bc68-d4294d8b3d37&quot;,&quot;itemData&quot;:{&quot;type&quot;:&quot;article-journal&quot;,&quot;id&quot;:&quot;30320899-7937-3d96-bc68-d4294d8b3d37&quot;,&quot;title&quot;:&quot;Kronos: A Foundation Model for the Language of Financial Markets&quot;,&quot;author&quot;:[{&quot;family&quot;:&quot;Shi&quot;,&quot;given&quot;:&quot;Yu&quot;,&quot;parse-names&quot;:false,&quot;dropping-particle&quot;:&quot;&quot;,&quot;non-dropping-particle&quot;:&quot;&quot;},{&quot;family&quot;:&quot;Fu&quot;,&quot;given&quot;:&quot;Zongliang&quot;,&quot;parse-names&quot;:false,&quot;dropping-particle&quot;:&quot;&quot;,&quot;non-dropping-particle&quot;:&quot;&quot;},{&quot;family&quot;:&quot;Chen&quot;,&quot;given&quot;:&quot;Shuo&quot;,&quot;parse-names&quot;:false,&quot;dropping-particle&quot;:&quot;&quot;,&quot;non-dropping-particle&quot;:&quot;&quot;},{&quot;family&quot;:&quot;Zhao&quot;,&quot;given&quot;:&quot;Bohan&quot;,&quot;parse-names&quot;:false,&quot;dropping-particle&quot;:&quot;&quot;,&quot;non-dropping-particle&quot;:&quot;&quot;},{&quot;family&quot;:&quot;Xu&quot;,&quot;given&quot;:&quot;Wei&quot;,&quot;parse-names&quot;:false,&quot;dropping-particle&quot;:&quot;&quot;,&quot;non-dropping-particle&quot;:&quot;&quot;},{&quot;family&quot;:&quot;Zhang&quot;,&quot;given&quot;:&quot;Changshui&quot;,&quot;parse-names&quot;:false,&quot;dropping-particle&quot;:&quot;&quot;,&quot;non-dropping-particle&quot;:&quot;&quot;},{&quot;family&quot;:&quot;Li&quot;,&quot;given&quot;:&quot;Jian&quot;,&quot;parse-names&quot;:false,&quot;dropping-particle&quot;:&quot;&quot;,&quot;non-dropping-particle&quot;:&quot;&quot;}],&quot;accessed&quot;:{&quot;date-parts&quot;:[[2026,6,18]]},&quot;DOI&quot;:&quot;10.1609/aaai.v40i30.39730&quot;,&quot;ISBN&quot;:&quot;2508.02739v1&quot;,&quot;ISSN&quot;:&quot;23743468&quot;,&quot;URL&quot;:&quot;https://arxiv.org/pdf/2508.02739&quot;,&quot;issued&quot;:{&quot;date-parts&quot;:[[2025,8,2]]},&quot;abstract&quot;:&quot;The success of large-scale pre-training paradigm, exemplified by Large Language Models (LLMs), has inspired the development of Time Series Foundation Models (TSFMs). However, their application to financial candlestick (K-line) data remains limited, often underperforming non-pre-trained architectures. Moreover, existing TSFMs often overlook crucial downstream tasks such as volatility prediction and synthetic data generation. To address these limitations, we propose Kronos, a unified, scalable pre-training framework tailored to financial K-line modeling. Kronos introduces a specialized tokenizer that discretizes continuous market information into token sequences, preserving both price dynamics and trade activity patterns. We pre-train Kronos using an autoregressive objective on a massive, multi-market corpus of over 12 billion K-line records from 45 global exchanges, enabling it to learn nuanced temporal and cross-asset representations. Kronos excels in a zero-shot setting across a diverse set of financial tasks. On benchmark datasets, Kronos boosts price series forecasting RankIC by 93% over the leading TSFM and 87% over the best non-pre-trained baseline. It also achieves a 9% lower MAE in volatility forecasting and a 22% improvement in generative fidelity for synthetic K-line sequences. These results establish Kronos as a robust, versatile foundation model for end-to-end financial time series analysis. Our pre-trained model is publicly available at https://github.com/shiyu-coder/Kronos.&quot;,&quot;container-title-short&quot;:&quot;&quot;},&quot;isTemporary&quot;:false}]},{&quot;citationID&quot;:&quot;MENDELEY_CITATION_2b797332-68a8-4afc-8f57-d9b99c445880&quot;,&quot;properties&quot;:{&quot;noteIndex&quot;:0},&quot;isEdited&quot;:false,&quot;manualOverride&quot;:{&quot;isManuallyOverridden&quot;:false,&quot;citeprocText&quot;:&quot;[10]&quot;,&quot;manualOverrideText&quot;:&quot;&quot;},&quot;citationTag&quot;:&quot;MENDELEY_CITATION_v3_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&quot;,&quot;citationItems&quot;:[{&quot;id&quot;:&quot;1912568d-3e72-349d-ab52-3c233947b9b0&quot;,&quot;itemData&quot;:{&quot;type&quot;:&quot;article-journal&quot;,&quot;id&quot;:&quot;1912568d-3e72-349d-ab52-3c233947b9b0&quot;,&quot;title&quot;:&quot;Image and Video Tokenization with Binary Spherical Quantization&quot;,&quot;author&quot;:[{&quot;family&quot;:&quot;Zhao&quot;,&quot;given&quot;:&quot;Yue&quot;,&quot;parse-names&quot;:false,&quot;dropping-particle&quot;:&quot;&quot;,&quot;non-dropping-particle&quot;:&quot;&quot;},{&quot;family&quot;:&quot;Xiong&quot;,&quot;given&quot;:&quot;Yuanjun&quot;,&quot;parse-names&quot;:false,&quot;dropping-particle&quot;:&quot;&quot;,&quot;non-dropping-particle&quot;:&quot;&quot;},{&quot;family&quot;:&quot;Krähenbühl&quot;,&quot;given&quot;:&quot;Philipp&quot;,&quot;parse-names&quot;:false,&quot;dropping-particle&quot;:&quot;&quot;,&quot;non-dropping-particle&quot;:&quot;&quot;}],&quot;container-title&quot;:&quot;13th International Conference on Learning Representations, ICLR 2025&quot;,&quot;accessed&quot;:{&quot;date-parts&quot;:[[2026,6,18]]},&quot;ISBN&quot;:&quot;9798331320850&quot;,&quot;URL&quot;:&quot;https://arxiv.org/pdf/2406.07548&quot;,&quot;issued&quot;:{&quot;date-parts&quot;:[[2024,6,11]]},&quot;page&quot;:&quot;98617-98641&quot;,&quot;abstract&quot;:&quot;We propose a new transformer-based image and video tokenizer with Binary Spherical Quantization (BSQ). BSQ projects the high-dimensional visual embedding to a lower-dimensional hypersphere and then applies binary quantization. BSQ is (1) parameter-efficient without an explicit codebook, (2) scalable to arbitrary token dimensions, and (3) compact: compressing visual data by up to 100$\\times$ with minimal distortion. Our tokenizer uses a transformer encoder and decoder with simple block-wise causal masking to support variable-length videos as input. The resulting BSQ-ViT achieves state-of-the-art visual reconstruction quality on image and video reconstruction benchmarks with 2.4$\\times$ throughput compared to the best prior methods. Furthermore, by learning an autoregressive prior for adaptive arithmetic coding, BSQ-ViT achieves comparable results on video compression with state-of-the-art video compression standards. BSQ-ViT also enables masked language models to achieve competitive image synthesis quality to GAN- and diffusion-based methods.&quot;,&quot;publisher&quot;:&quot;International Conference on Learning Representations, ICLR&quot;,&quot;container-title-short&quot;:&quot;&quot;},&quot;isTemporary&quot;:false}]},{&quot;citationID&quot;:&quot;MENDELEY_CITATION_cd6b82c5-e1e9-4c95-98c1-df12029083ac&quot;,&quot;properties&quot;:{&quot;noteIndex&quot;:0},&quot;isEdited&quot;:false,&quot;manualOverride&quot;:{&quot;isManuallyOverridden&quot;:false,&quot;citeprocText&quot;:&quot;[1]&quot;,&quot;manualOverrideText&quot;:&quot;&quot;},&quot;citationTag&quot;:&quot;MENDELEY_CITATION_v3_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&quot;,&quot;citationItems&quot;:[{&quot;id&quot;:&quot;30320899-7937-3d96-bc68-d4294d8b3d37&quot;,&quot;itemData&quot;:{&quot;type&quot;:&quot;article-journal&quot;,&quot;id&quot;:&quot;30320899-7937-3d96-bc68-d4294d8b3d37&quot;,&quot;title&quot;:&quot;Kronos: A Foundation Model for the Language of Financial Markets&quot;,&quot;author&quot;:[{&quot;family&quot;:&quot;Shi&quot;,&quot;given&quot;:&quot;Yu&quot;,&quot;parse-names&quot;:false,&quot;dropping-particle&quot;:&quot;&quot;,&quot;non-dropping-particle&quot;:&quot;&quot;},{&quot;family&quot;:&quot;Fu&quot;,&quot;given&quot;:&quot;Zongliang&quot;,&quot;parse-names&quot;:false,&quot;dropping-particle&quot;:&quot;&quot;,&quot;non-dropping-particle&quot;:&quot;&quot;},{&quot;family&quot;:&quot;Chen&quot;,&quot;given&quot;:&quot;Shuo&quot;,&quot;parse-names&quot;:false,&quot;dropping-particle&quot;:&quot;&quot;,&quot;non-dropping-particle&quot;:&quot;&quot;},{&quot;family&quot;:&quot;Zhao&quot;,&quot;given&quot;:&quot;Bohan&quot;,&quot;parse-names&quot;:false,&quot;dropping-particle&quot;:&quot;&quot;,&quot;non-dropping-particle&quot;:&quot;&quot;},{&quot;family&quot;:&quot;Xu&quot;,&quot;given&quot;:&quot;Wei&quot;,&quot;parse-names&quot;:false,&quot;dropping-particle&quot;:&quot;&quot;,&quot;non-dropping-particle&quot;:&quot;&quot;},{&quot;family&quot;:&quot;Zhang&quot;,&quot;given&quot;:&quot;Changshui&quot;,&quot;parse-names&quot;:false,&quot;dropping-particle&quot;:&quot;&quot;,&quot;non-dropping-particle&quot;:&quot;&quot;},{&quot;family&quot;:&quot;Li&quot;,&quot;given&quot;:&quot;Jian&quot;,&quot;parse-names&quot;:false,&quot;dropping-particle&quot;:&quot;&quot;,&quot;non-dropping-particle&quot;:&quot;&quot;}],&quot;accessed&quot;:{&quot;date-parts&quot;:[[2026,6,18]]},&quot;DOI&quot;:&quot;10.1609/aaai.v40i30.39730&quot;,&quot;ISBN&quot;:&quot;2508.02739v1&quot;,&quot;ISSN&quot;:&quot;23743468&quot;,&quot;URL&quot;:&quot;https://arxiv.org/pdf/2508.02739&quot;,&quot;issued&quot;:{&quot;date-parts&quot;:[[2025,8,2]]},&quot;abstract&quot;:&quot;The success of large-scale pre-training paradigm, exemplified by Large Language Models (LLMs), has inspired the development of Time Series Foundation Models (TSFMs). However, their application to financial candlestick (K-line) data remains limited, often underperforming non-pre-trained architectures. Moreover, existing TSFMs often overlook crucial downstream tasks such as volatility prediction and synthetic data generation. To address these limitations, we propose Kronos, a unified, scalable pre-training framework tailored to financial K-line modeling. Kronos introduces a specialized tokenizer that discretizes continuous market information into token sequences, preserving both price dynamics and trade activity patterns. We pre-train Kronos using an autoregressive objective on a massive, multi-market corpus of over 12 billion K-line records from 45 global exchanges, enabling it to learn nuanced temporal and cross-asset representations. Kronos excels in a zero-shot setting across a diverse set of financial tasks. On benchmark datasets, Kronos boosts price series forecasting RankIC by 93% over the leading TSFM and 87% over the best non-pre-trained baseline. It also achieves a 9% lower MAE in volatility forecasting and a 22% improvement in generative fidelity for synthetic K-line sequences. These results establish Kronos as a robust, versatile foundation model for end-to-end financial time series analysis. Our pre-trained model is publicly available at https://github.com/shiyu-coder/Kronos.&quot;,&quot;container-title-short&quot;:&quot;&quot;},&quot;isTemporary&quot;:false}]},{&quot;citationID&quot;:&quot;MENDELEY_CITATION_fae6a2f1-9ef8-4a88-915c-01f14408208c&quot;,&quot;properties&quot;:{&quot;noteIndex&quot;:0},&quot;isEdited&quot;:false,&quot;manualOverride&quot;:{&quot;isManuallyOverridden&quot;:false,&quot;citeprocText&quot;:&quot;[6]&quot;,&quot;manualOverrideText&quot;:&quot;&quot;},&quot;citationTag&quot;:&quot;MENDELEY_CITATION_v3_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&quot;,&quot;citationItems&quot;:[{&quot;id&quot;:&quot;91a3d0ca-b59c-3ba4-a5ef-6b282fd926e1&quot;,&quot;itemData&quot;:{&quot;type&quot;:&quot;article-journal&quot;,&quot;id&quot;:&quot;91a3d0ca-b59c-3ba4-a5ef-6b282fd926e1&quot;,&quot;title&quot;:&quot;Financial Data Analysis Using Python&quot;,&quot;author&quot;:[{&quot;family&quot;:&quot;Zherlitsyn&quot;,&quot;given&quot;:&quot;Dmytro&quot;,&quot;parse-names&quot;:false,&quot;dropping-particle&quot;:&quot;&quot;,&quot;non-dropping-particle&quot;:&quot;&quot;}],&quot;container-title&quot;:&quot;Financial Data Analysis Using Python&quot;,&quot;accessed&quot;:{&quot;date-parts&quot;:[[2026,6,18]]},&quot;DOI&quot;:&quot;10.1515/9781501521843/HTML&quot;,&quot;ISBN&quot;:&quot;9781501521843&quot;,&quot;URL&quot;:&quot;https://vnstocks.com/docs/tai-lieu/lich-su-phien-ban&quot;,&quot;issued&quot;:{&quot;date-parts&quot;:[[2025,1,1]]},&quot;page&quot;:&quot;1-480&quot;,&quot;abstract&quot;:&quot;This book will introduce essential concepts in financial analysis methods &amp; models, covering time-series analysis, graphical analysis, technical and fundamental analysis, asset pricing and portfolio theory, investment and trade strategies, risk assessment and prediction, and financial ML practices. The Python programming language and its ecosystem libraries, such as Pandas, NumPy, SciPy, statsmodels, Matplotlib, Seaborn, Scikit-learn, Prophet, and other data science tools will demonstrate these rooted financial concepts in practice examples. This book will also help you understand the concepts of financial market dynamics, estimate the metrics of financial asset profitability, predict trends, evaluate strategies, optimize portfolios, and manage financial risks. You will also learn data analysis techniques using the Python programming language to understand the basics of data preparation, visualization, and manipulation in the world of financial data. FEATURES • Illustrates financial data analysis using Python data science libraries &amp; techniques • Uses Python visualization tools to justify investment and trading strategies • Covers asset pricing &amp; portfolio management methods with Python.&quot;,&quot;publisher&quot;:&quot;De Gruyter&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1046A8-A020-49BC-ABDC-50034DE1B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25</Pages>
  <Words>5130</Words>
  <Characters>29244</Characters>
  <Application>Microsoft Office Word</Application>
  <DocSecurity>0</DocSecurity>
  <Lines>243</Lines>
  <Paragraphs>68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dc:creator>
  <cp:keywords/>
  <dc:description/>
  <cp:lastModifiedBy>minh nguyễn</cp:lastModifiedBy>
  <cp:revision>6</cp:revision>
  <dcterms:created xsi:type="dcterms:W3CDTF">2026-06-17T13:43:00Z</dcterms:created>
  <dcterms:modified xsi:type="dcterms:W3CDTF">2026-06-19T09:30:00Z</dcterms:modified>
</cp:coreProperties>
</file>