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png" ContentType="image/png"/>
  <Override PartName="/word/media/rId55.png" ContentType="image/png"/>
  <Override PartName="/word/media/rId20.png" ContentType="image/png"/>
  <Override PartName="/word/media/rId60.png" ContentType="image/png"/>
  <Override PartName="/word/media/rId51.png" ContentType="image/png"/>
  <Override PartName="/word/media/rId42.png" ContentType="image/png"/>
  <Override PartName="/word/media/rId3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Моделирование</w:t>
      </w:r>
      <w:r>
        <w:t xml:space="preserve"> </w:t>
      </w:r>
      <w:r>
        <w:t xml:space="preserve">движения</w:t>
      </w:r>
      <w:r>
        <w:t xml:space="preserve"> </w:t>
      </w:r>
      <w:r>
        <w:t xml:space="preserve">пучка</w:t>
      </w:r>
      <w:r>
        <w:t xml:space="preserve"> </w:t>
      </w:r>
      <w:r>
        <w:t xml:space="preserve">в</w:t>
      </w:r>
      <w:r>
        <w:t xml:space="preserve"> </w:t>
      </w:r>
      <w:r>
        <w:t xml:space="preserve">электромагнитном</w:t>
      </w:r>
      <w:r>
        <w:t xml:space="preserve"> </w:t>
      </w:r>
      <w:r>
        <w:t xml:space="preserve">поле</w:t>
      </w:r>
      <w:r>
        <w:t xml:space="preserve"> </w:t>
      </w:r>
      <w:r>
        <w:t xml:space="preserve">с</w:t>
      </w:r>
      <w:r>
        <w:t xml:space="preserve"> </w:t>
      </w:r>
      <w:r>
        <w:t xml:space="preserve">помощью</w:t>
      </w:r>
      <w:r>
        <w:t xml:space="preserve"> </w:t>
      </w:r>
      <w:r>
        <w:t xml:space="preserve">GPU</w:t>
      </w:r>
    </w:p>
    <w:p>
      <w:pPr>
        <w:pStyle w:val="Author"/>
      </w:pPr>
      <w:r>
        <w:t xml:space="preserve">Кадров</w:t>
      </w:r>
      <w:r>
        <w:t xml:space="preserve"> </w:t>
      </w:r>
      <w:r>
        <w:t xml:space="preserve">Виктор</w:t>
      </w:r>
      <w:r>
        <w:t xml:space="preserve"> </w:t>
      </w:r>
      <w:r>
        <w:t xml:space="preserve">Максимович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4" w:name="введе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Введение</w:t>
      </w:r>
    </w:p>
    <w:p>
      <w:pPr>
        <w:pStyle w:val="FirstParagraph"/>
      </w:pPr>
      <w:r>
        <w:t xml:space="preserve">В докладе рассматривается подход к моделированию взаимодействия заряженных частиц в пучке. В качестве отправной точки анализируется задача с гравитационным взаимодействием (рис. 1), поскольку она во многом аналогична электрической, но проще для понимания на первом этапе.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right"/>
                        <m:count m:val="1"/>
                      </m:mcPr>
                    </m:mc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/>
                  <m:e>
                    <m:sSub>
                      <m:e>
                        <m:acc>
                          <m:accPr>
                            <m:chr m:val="̇"/>
                          </m:accPr>
                          <m:e>
                            <m:acc>
                              <m:accPr>
                                <m:chr m:val="⃗"/>
                              </m:accPr>
                              <m:e>
                                <m:r>
                                  <m:t>v</m:t>
                                </m:r>
                              </m:e>
                            </m:acc>
                          </m:e>
                        </m:acc>
                      </m:e>
                      <m:sub>
                        <m: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t>G</m:t>
                    </m:r>
                    <m:nary>
                      <m:naryPr>
                        <m:chr m:val="∑"/>
                        <m:limLoc m:val="undOvr"/>
                        <m:subHide m:val="0"/>
                        <m:supHide m:val="1"/>
                      </m:naryPr>
                      <m:sub>
                        <m:r>
                          <m:t>j</m:t>
                        </m:r>
                        <m:r>
                          <m:rPr>
                            <m:sty m:val="p"/>
                          </m:rPr>
                          <m:t>≠</m:t>
                        </m:r>
                        <m:r>
                          <m:t>i</m:t>
                        </m:r>
                      </m:sub>
                      <m:sup>
                        <m:r>
                          <m:t>​</m:t>
                        </m:r>
                      </m:sup>
                      <m:e>
                        <m:f>
                          <m:fPr>
                            <m:type m:val="bar"/>
                          </m:fPr>
                          <m:num>
                            <m:sSub>
                              <m:e>
                                <m:r>
                                  <m:t>m</m:t>
                                </m:r>
                              </m:e>
                              <m:sub>
                                <m:r>
                                  <m:t>j</m:t>
                                </m:r>
                              </m:sub>
                            </m:sSub>
                          </m:num>
                          <m:den>
                            <m:d>
                              <m:dPr>
                                <m:begChr m:val="|"/>
                                <m:endChr m:val="|"/>
                                <m:sepChr m:val=""/>
                                <m:grow/>
                              </m:dPr>
                              <m:e/>
                            </m:d>
                            <m:acc>
                              <m:accPr>
                                <m:chr m:val="⃗"/>
                              </m:accPr>
                              <m:e>
                                <m:r>
                                  <m:t>r</m:t>
                                </m:r>
                              </m:e>
                            </m:acc>
                            <m:sSup>
                              <m:e>
                                <m:d>
                                  <m:dPr>
                                    <m:begChr m:val="|"/>
                                    <m:endChr m:val="|"/>
                                    <m:sepChr m:val=""/>
                                    <m:grow/>
                                  </m:dPr>
                                  <m:e/>
                                </m:d>
                              </m:e>
                              <m:sup>
                                <m:r>
                                  <m:t>3</m:t>
                                </m:r>
                              </m:sup>
                            </m:sSup>
                          </m:den>
                        </m:f>
                      </m:e>
                    </m:nary>
                    <m:acc>
                      <m:accPr>
                        <m:chr m:val="⃗"/>
                      </m:accPr>
                      <m:e>
                        <m:r>
                          <m:t>r</m:t>
                        </m:r>
                      </m:e>
                    </m:acc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/>
                  <m:e>
                    <m:sSub>
                      <m:e>
                        <m:acc>
                          <m:accPr>
                            <m:chr m:val="̇"/>
                          </m:accPr>
                          <m:e>
                            <m:acc>
                              <m:accPr>
                                <m:chr m:val="⃗"/>
                              </m:accPr>
                              <m:e>
                                <m:r>
                                  <m:t>x</m:t>
                                </m:r>
                              </m:e>
                            </m:acc>
                          </m:e>
                        </m:acc>
                      </m:e>
                      <m:sub>
                        <m: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sSub>
                      <m:e>
                        <m:acc>
                          <m:accPr>
                            <m:chr m:val="⃗"/>
                          </m:accPr>
                          <m:e>
                            <m:r>
                              <m:t>v</m:t>
                            </m:r>
                          </m:e>
                        </m:acc>
                      </m:e>
                      <m:sub>
                        <m: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/>
                  <m:e>
                    <m:sSub>
                      <m:e>
                        <m:acc>
                          <m:accPr>
                            <m:chr m:val="⃗"/>
                          </m:accPr>
                          <m:e>
                            <m:r>
                              <m:t>x</m:t>
                            </m:r>
                          </m:e>
                        </m:acc>
                      </m:e>
                      <m:sub>
                        <m:r>
                          <m:t>i</m:t>
                        </m:r>
                      </m:sub>
                    </m:sSub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0</m:t>
                        </m:r>
                      </m:e>
                    </m:d>
                    <m:r>
                      <m:rPr>
                        <m:sty m:val="p"/>
                      </m:rPr>
                      <m:t>=</m:t>
                    </m:r>
                    <m:sSub>
                      <m:e>
                        <m:acc>
                          <m:accPr>
                            <m:chr m:val="⃗"/>
                          </m:accPr>
                          <m:e>
                            <m:r>
                              <m:t>x</m:t>
                            </m:r>
                          </m:e>
                        </m:acc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  <m:sSub>
                      <m:e>
                        <m:acc>
                          <m:accPr>
                            <m:chr m:val="⃗"/>
                          </m:accPr>
                          <m:e>
                            <m:r>
                              <m:t>v</m:t>
                            </m:r>
                          </m:e>
                        </m:acc>
                      </m:e>
                      <m:sub>
                        <m:r>
                          <m:t>i</m:t>
                        </m:r>
                      </m:sub>
                    </m:sSub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0</m:t>
                        </m:r>
                      </m:e>
                    </m:d>
                    <m:r>
                      <m:rPr>
                        <m:sty m:val="p"/>
                      </m:rPr>
                      <m:t>=</m:t>
                    </m:r>
                    <m:sSub>
                      <m:e>
                        <m:acc>
                          <m:accPr>
                            <m:chr m:val="⃗"/>
                          </m:accPr>
                          <m:e>
                            <m:r>
                              <m:t>v</m:t>
                            </m:r>
                          </m:e>
                        </m:acc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acc>
          <m:accPr>
            <m:chr m:val="⃗"/>
          </m:accPr>
          <m:e>
            <m:r>
              <m:t>r</m:t>
            </m:r>
          </m:e>
        </m:acc>
        <m:r>
          <m:rPr>
            <m:sty m:val="p"/>
          </m:rPr>
          <m:t>=</m:t>
        </m:r>
        <m:sSub>
          <m:e>
            <m:acc>
              <m:accPr>
                <m:chr m:val="⃗"/>
              </m:accPr>
              <m:e>
                <m:r>
                  <m:t>r</m:t>
                </m:r>
              </m:e>
            </m:acc>
          </m:e>
          <m:sub>
            <m:r>
              <m:t>i</m:t>
            </m:r>
          </m:sub>
        </m:sSub>
        <m:r>
          <m:rPr>
            <m:sty m:val="p"/>
          </m:rPr>
          <m:t>−</m:t>
        </m:r>
        <m:sSub>
          <m:e>
            <m:acc>
              <m:accPr>
                <m:chr m:val="⃗"/>
              </m:accPr>
              <m:e>
                <m:r>
                  <m:t>r</m:t>
                </m:r>
              </m:e>
            </m:acc>
          </m:e>
          <m:sub>
            <m:r>
              <m:t>j</m:t>
            </m:r>
          </m:sub>
        </m:sSub>
      </m:oMath>
      <w:r>
        <w:t xml:space="preserve"> </w:t>
      </w:r>
      <w:r>
        <w:t xml:space="preserve">– радиус-вектор между телами</w:t>
      </w:r>
    </w:p>
    <w:p>
      <w:pPr>
        <w:pStyle w:val="CaptionedFigure"/>
      </w:pPr>
      <w:bookmarkStart w:id="23" w:name="fig:001"/>
      <w:r>
        <w:drawing>
          <wp:inline>
            <wp:extent cx="5080000" cy="3810000"/>
            <wp:effectExtent b="0" l="0" r="0" t="0"/>
            <wp:docPr descr="Рис. 1: Пример моделирования гравитационной задачи (Source: Nvidia Developer Guide)" title="" id="21" name="Picture"/>
            <a:graphic>
              <a:graphicData uri="http://schemas.openxmlformats.org/drawingml/2006/picture">
                <pic:pic>
                  <pic:nvPicPr>
                    <pic:cNvPr descr="image/grav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1: Пример моделирования гравитационной задачи (Source: Nvidia Developer Guide)</w:t>
      </w:r>
    </w:p>
    <w:p>
      <w:pPr>
        <w:pStyle w:val="BodyText"/>
      </w:pPr>
      <w:r>
        <w:t xml:space="preserve">Известно, что даже задача трёх тел в гравитационном взаимодействии не имеет общего аналитического решения, и при увеличении числа тел (N-тел) задача усложняется ещё больше. Однако уже на этом уровне можно выделить два важных аспекта:</w:t>
      </w:r>
    </w:p>
    <w:p>
      <w:pPr>
        <w:numPr>
          <w:ilvl w:val="0"/>
          <w:numId w:val="1001"/>
        </w:numPr>
        <w:pStyle w:val="Compact"/>
      </w:pPr>
      <w:r>
        <w:t xml:space="preserve">Наличие члена, обратного к расстоянию в третьей степени, приводит к численным сложностям при моделировании близких взаимодействий.</w:t>
      </w:r>
    </w:p>
    <w:p>
      <w:pPr>
        <w:numPr>
          <w:ilvl w:val="0"/>
          <w:numId w:val="1001"/>
        </w:numPr>
        <w:pStyle w:val="Compact"/>
      </w:pPr>
      <w:r>
        <w:t xml:space="preserve">С увеличением числа тел индивидуальные траектории теряют значение, уступая место коллективной динамике всей системы — в данном случае, пучка частиц.</w:t>
      </w:r>
    </w:p>
    <w:bookmarkEnd w:id="24"/>
    <w:bookmarkStart w:id="25" w:name="Xff78e327d4e323910c5343c2e211cc2d8d794cc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Замена гравитационного взаимодействия на электрическое</w:t>
      </w:r>
    </w:p>
    <w:p>
      <w:pPr>
        <w:pStyle w:val="FirstParagraph"/>
      </w:pPr>
      <w:r>
        <w:t xml:space="preserve">Поскольку в задаче рассматриваются заряженные частицы, гравитационное взаимодействие заменяется на кулоновское.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sSub>
                  <m:e>
                    <m:acc>
                      <m:accPr>
                        <m:chr m:val="̇"/>
                      </m:accPr>
                      <m:e>
                        <m:acc>
                          <m:accPr>
                            <m:chr m:val="⃗"/>
                          </m:accPr>
                          <m:e>
                            <m:r>
                              <m:t>v</m:t>
                            </m:r>
                          </m:e>
                        </m:acc>
                      </m:e>
                    </m:acc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=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4</m:t>
                    </m:r>
                    <m:r>
                      <m:t>π</m:t>
                    </m:r>
                    <m:sSub>
                      <m:e>
                        <m:r>
                          <m:t>ϵ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sSub>
                      <m:e>
                        <m:r>
                          <m:t>m</m:t>
                        </m:r>
                      </m:e>
                      <m:sub>
                        <m:r>
                          <m:t>i</m:t>
                        </m:r>
                      </m:sub>
                    </m:sSub>
                  </m:den>
                </m:f>
                <m:nary>
                  <m:naryPr>
                    <m:chr m:val="∑"/>
                    <m:limLoc m:val="undOvr"/>
                    <m:subHide m:val="0"/>
                    <m:supHide m:val="1"/>
                  </m:naryPr>
                  <m:sub>
                    <m:r>
                      <m:t>j</m:t>
                    </m:r>
                    <m:r>
                      <m:rPr>
                        <m:sty m:val="p"/>
                      </m:rPr>
                      <m:t>≠</m:t>
                    </m:r>
                    <m:r>
                      <m:t>i</m:t>
                    </m:r>
                  </m:sub>
                  <m:sup>
                    <m:r>
                      <m:t>​</m:t>
                    </m:r>
                  </m:sup>
                  <m:e>
                    <m:f>
                      <m:fPr>
                        <m:type m:val="bar"/>
                      </m:fPr>
                      <m:num>
                        <m:sSub>
                          <m:e>
                            <m:r>
                              <m:t>q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</m:sSub>
                        <m:sSub>
                          <m:e>
                            <m:r>
                              <m:t>q</m:t>
                            </m:r>
                          </m:e>
                          <m:sub>
                            <m:r>
                              <m:t>j</m:t>
                            </m:r>
                          </m:sub>
                        </m:sSub>
                      </m:num>
                      <m:den>
                        <m:d>
                          <m:dPr>
                            <m:begChr m:val="|"/>
                            <m:endChr m:val="|"/>
                            <m:sepChr m:val=""/>
                            <m:grow/>
                          </m:dPr>
                          <m:e/>
                        </m:d>
                        <m:acc>
                          <m:accPr>
                            <m:chr m:val="⃗"/>
                          </m:accPr>
                          <m:e>
                            <m:r>
                              <m:t>r</m:t>
                            </m:r>
                          </m:e>
                        </m:acc>
                        <m:sSup>
                          <m:e>
                            <m:d>
                              <m:dPr>
                                <m:begChr m:val="|"/>
                                <m:endChr m:val="|"/>
                                <m:sepChr m:val=""/>
                                <m:grow/>
                              </m:dPr>
                              <m:e/>
                            </m:d>
                          </m:e>
                          <m:sup>
                            <m:r>
                              <m:t>3</m:t>
                            </m:r>
                          </m:sup>
                        </m:sSup>
                      </m:den>
                    </m:f>
                  </m:e>
                </m:nary>
                <m:acc>
                  <m:accPr>
                    <m:chr m:val="⃗"/>
                  </m:accPr>
                  <m:e>
                    <m:r>
                      <m:t>r</m:t>
                    </m:r>
                  </m:e>
                </m:acc>
                <m:r>
                  <m:rPr>
                    <m:sty m:val="p"/>
                  </m:rPr>
                  <m:t>.</m:t>
                </m:r>
              </m:e>
            </m:mr>
          </m:m>
        </m:oMath>
      </m:oMathPara>
    </w:p>
    <w:p>
      <w:pPr>
        <w:pStyle w:val="FirstParagraph"/>
      </w:pPr>
      <w:r>
        <w:t xml:space="preserve">Обозначим теперь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4</m:t>
            </m:r>
            <m:r>
              <m:t>π</m:t>
            </m:r>
            <m:sSub>
              <m:e>
                <m:r>
                  <m:t>ϵ</m:t>
                </m:r>
              </m:e>
              <m:sub>
                <m:r>
                  <m:t>0</m:t>
                </m:r>
              </m:sub>
            </m:sSub>
          </m:den>
        </m:f>
        <m:nary>
          <m:naryPr>
            <m:chr m:val="∑"/>
            <m:limLoc m:val="undOvr"/>
            <m:subHide m:val="0"/>
            <m:supHide m:val="1"/>
          </m:naryPr>
          <m:sub>
            <m:r>
              <m:t>j</m:t>
            </m:r>
            <m:r>
              <m:rPr>
                <m:sty m:val="p"/>
              </m:rPr>
              <m:t>≠</m:t>
            </m:r>
            <m:r>
              <m:t>i</m:t>
            </m:r>
          </m:sub>
          <m:sup>
            <m:r>
              <m:t>​</m:t>
            </m:r>
          </m:sup>
          <m:e>
            <m:f>
              <m:fPr>
                <m:type m:val="bar"/>
              </m:fPr>
              <m:num>
                <m:sSub>
                  <m:e>
                    <m:r>
                      <m:t>q</m:t>
                    </m:r>
                  </m:e>
                  <m:sub>
                    <m:r>
                      <m:t>j</m:t>
                    </m:r>
                  </m:sub>
                </m:sSub>
              </m:num>
              <m:den>
                <m:d>
                  <m:dPr>
                    <m:begChr m:val="|"/>
                    <m:endChr m:val="|"/>
                    <m:sepChr m:val=""/>
                    <m:grow/>
                  </m:dPr>
                  <m:e/>
                </m:d>
                <m:acc>
                  <m:accPr>
                    <m:chr m:val="⃗"/>
                  </m:accPr>
                  <m:e>
                    <m:r>
                      <m:t>r</m:t>
                    </m:r>
                  </m:e>
                </m:acc>
                <m:sSup>
                  <m:e>
                    <m:d>
                      <m:dPr>
                        <m:begChr m:val="|"/>
                        <m:endChr m:val="|"/>
                        <m:sepChr m:val=""/>
                        <m:grow/>
                      </m:dPr>
                      <m:e/>
                    </m:d>
                  </m:e>
                  <m:sup>
                    <m:r>
                      <m:t>3</m:t>
                    </m:r>
                  </m:sup>
                </m:sSup>
              </m:den>
            </m:f>
          </m:e>
        </m:nary>
        <m:acc>
          <m:accPr>
            <m:chr m:val="⃗"/>
          </m:accPr>
          <m:e>
            <m:r>
              <m:t>r</m:t>
            </m:r>
          </m:e>
        </m:acc>
      </m:oMath>
      <w:r>
        <w:t xml:space="preserve"> </w:t>
      </w:r>
      <w:r>
        <w:t xml:space="preserve">как</w:t>
      </w:r>
      <w:r>
        <w:t xml:space="preserve"> </w:t>
      </w:r>
      <m:oMath>
        <m:sSub>
          <m:e>
            <m:acc>
              <m:accPr>
                <m:chr m:val="⃗"/>
              </m:accPr>
              <m:e>
                <m:r>
                  <m:t>E</m:t>
                </m:r>
              </m:e>
            </m:acc>
          </m:e>
          <m:sub>
            <m:r>
              <m:t>s</m:t>
            </m:r>
          </m:sub>
        </m:sSub>
      </m:oMath>
      <w:r>
        <w:t xml:space="preserve">. Добавим внешнее электрическое (</w:t>
      </w:r>
      <m:oMath>
        <m:acc>
          <m:accPr>
            <m:chr m:val="⃗"/>
          </m:accPr>
          <m:e>
            <m:sSub>
              <m:e>
                <m:r>
                  <m:t>E</m:t>
                </m:r>
              </m:e>
              <m:sub>
                <m:r>
                  <m:t>e</m:t>
                </m:r>
                <m:r>
                  <m:t>x</m:t>
                </m:r>
                <m:r>
                  <m:t>t</m:t>
                </m:r>
              </m:sub>
            </m:sSub>
          </m:e>
        </m:acc>
      </m:oMath>
      <w:r>
        <w:t xml:space="preserve">) и магнитное (</w:t>
      </w:r>
      <m:oMath>
        <m:sSub>
          <m:e>
            <m:acc>
              <m:accPr>
                <m:chr m:val="⃗"/>
              </m:accPr>
              <m:e>
                <m:r>
                  <m:t>B</m:t>
                </m:r>
              </m:e>
            </m:acc>
          </m:e>
          <m:sub>
            <m:r>
              <m:t>e</m:t>
            </m:r>
            <m:r>
              <m:t>x</m:t>
            </m:r>
            <m:r>
              <m:t>t</m:t>
            </m:r>
          </m:sub>
        </m:sSub>
      </m:oMath>
      <w:r>
        <w:t xml:space="preserve">) поле и получим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sSub>
                  <m:e>
                    <m:acc>
                      <m:accPr>
                        <m:chr m:val="̇"/>
                      </m:accPr>
                      <m:e>
                        <m:acc>
                          <m:accPr>
                            <m:chr m:val="⃗"/>
                          </m:accPr>
                          <m:e>
                            <m:r>
                              <m:t>v</m:t>
                            </m:r>
                          </m:e>
                        </m:acc>
                      </m:e>
                    </m:acc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q</m:t>
                        </m:r>
                      </m:e>
                      <m:sub>
                        <m:r>
                          <m:t>i</m:t>
                        </m:r>
                      </m:sub>
                    </m:sSub>
                  </m:num>
                  <m:den>
                    <m:sSub>
                      <m:e>
                        <m:r>
                          <m:t>m</m:t>
                        </m:r>
                      </m:e>
                      <m:sub>
                        <m:r>
                          <m:t>i</m:t>
                        </m:r>
                      </m:sub>
                    </m:sSub>
                  </m:den>
                </m:f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acc>
                          <m:accPr>
                            <m:chr m:val="⃗"/>
                          </m:accPr>
                          <m:e>
                            <m:r>
                              <m:t>E</m:t>
                            </m:r>
                          </m:e>
                        </m:acc>
                      </m:e>
                      <m:sub>
                        <m:r>
                          <m:t>s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sSub>
                      <m:e>
                        <m:acc>
                          <m:accPr>
                            <m:chr m:val="⃗"/>
                          </m:accPr>
                          <m:e>
                            <m:r>
                              <m:t>E</m:t>
                            </m:r>
                          </m:e>
                        </m:acc>
                      </m:e>
                      <m:sub>
                        <m:r>
                          <m:t>e</m:t>
                        </m:r>
                        <m:r>
                          <m:t>x</m:t>
                        </m:r>
                        <m:r>
                          <m:t>t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d>
                      <m:dPr>
                        <m:begChr m:val="["/>
                        <m:endChr m:val="]"/>
                        <m:sepChr m:val=""/>
                        <m:grow/>
                      </m:dPr>
                      <m:e>
                        <m:acc>
                          <m:accPr>
                            <m:chr m:val="⃗"/>
                          </m:accPr>
                          <m:e>
                            <m:sSub>
                              <m:e>
                                <m:r>
                                  <m:t>v</m:t>
                                </m:r>
                              </m:e>
                              <m:sub>
                                <m:r>
                                  <m:t>i</m:t>
                                </m:r>
                              </m:sub>
                            </m:sSub>
                          </m:e>
                        </m:acc>
                        <m:r>
                          <m:rPr>
                            <m:sty m:val="p"/>
                          </m:rPr>
                          <m:t>,</m:t>
                        </m:r>
                        <m:sSub>
                          <m:e>
                            <m:acc>
                              <m:accPr>
                                <m:chr m:val="⃗"/>
                              </m:accPr>
                              <m:e>
                                <m:r>
                                  <m:t>B</m:t>
                                </m:r>
                              </m:e>
                            </m:acc>
                          </m:e>
                          <m:sub>
                            <m:r>
                              <m:t>e</m:t>
                            </m:r>
                            <m:r>
                              <m:t>x</m:t>
                            </m:r>
                            <m:r>
                              <m:t>t</m:t>
                            </m:r>
                          </m:sub>
                        </m:sSub>
                      </m:e>
                    </m:d>
                  </m:e>
                </m:d>
                <m:r>
                  <m:rPr>
                    <m:sty m:val="p"/>
                  </m:rPr>
                  <m:t>.</m:t>
                </m:r>
              </m:e>
            </m:mr>
          </m:m>
        </m:oMath>
      </m:oMathPara>
    </w:p>
    <w:bookmarkEnd w:id="25"/>
    <w:bookmarkStart w:id="26" w:name="постановка-задачи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Постановка задачи</w:t>
      </w:r>
    </w:p>
    <w:p>
      <w:pPr>
        <w:pStyle w:val="FirstParagraph"/>
      </w:pPr>
      <w:r>
        <w:t xml:space="preserve">Таким образом, формулируется следующая задача Коши: заданы начальные положения и скорости частиц, а также известно внешнее по отношению к пучку электромагнитное поле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right"/>
                        <m:count m:val="1"/>
                      </m:mcPr>
                    </m:mc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/>
                  <m:e>
                    <m:sSub>
                      <m:e>
                        <m:acc>
                          <m:accPr>
                            <m:chr m:val="̇"/>
                          </m:accPr>
                          <m:e>
                            <m:acc>
                              <m:accPr>
                                <m:chr m:val="⃗"/>
                              </m:accPr>
                              <m:e>
                                <m:r>
                                  <m:t>v</m:t>
                                </m:r>
                              </m:e>
                            </m:acc>
                          </m:e>
                        </m:acc>
                      </m:e>
                      <m:sub>
                        <m: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f>
                      <m:fPr>
                        <m:type m:val="bar"/>
                      </m:fPr>
                      <m:num>
                        <m:sSub>
                          <m:e>
                            <m:r>
                              <m:t>q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</m:sSub>
                      </m:num>
                      <m:den>
                        <m:sSub>
                          <m:e>
                            <m:r>
                              <m:t>m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</m:sSub>
                      </m:den>
                    </m:f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>
                          <m:e>
                            <m:acc>
                              <m:accPr>
                                <m:chr m:val="⃗"/>
                              </m:accPr>
                              <m:e>
                                <m:r>
                                  <m:t>E</m:t>
                                </m:r>
                              </m:e>
                            </m:acc>
                          </m:e>
                          <m:sub>
                            <m:r>
                              <m:t>s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+</m:t>
                        </m:r>
                        <m:sSub>
                          <m:e>
                            <m:acc>
                              <m:accPr>
                                <m:chr m:val="⃗"/>
                              </m:accPr>
                              <m:e>
                                <m:r>
                                  <m:t>E</m:t>
                                </m:r>
                              </m:e>
                            </m:acc>
                          </m:e>
                          <m:sub>
                            <m:r>
                              <m:t>e</m:t>
                            </m:r>
                            <m:r>
                              <m:t>x</m:t>
                            </m:r>
                            <m:r>
                              <m:t>t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+</m:t>
                        </m:r>
                        <m:d>
                          <m:dPr>
                            <m:begChr m:val="["/>
                            <m:endChr m:val="]"/>
                            <m:sepChr m:val=""/>
                            <m:grow/>
                          </m:dPr>
                          <m:e>
                            <m:acc>
                              <m:accPr>
                                <m:chr m:val="⃗"/>
                              </m:accPr>
                              <m:e>
                                <m:sSub>
                                  <m:e>
                                    <m:r>
                                      <m:t>v</m:t>
                                    </m:r>
                                  </m:e>
                                  <m:sub>
                                    <m:r>
                                      <m:t>i</m:t>
                                    </m:r>
                                  </m:sub>
                                </m:sSub>
                              </m:e>
                            </m:acc>
                            <m:r>
                              <m:rPr>
                                <m:sty m:val="p"/>
                              </m:rPr>
                              <m:t>,</m:t>
                            </m:r>
                            <m:sSub>
                              <m:e>
                                <m:acc>
                                  <m:accPr>
                                    <m:chr m:val="⃗"/>
                                  </m:accPr>
                                  <m:e>
                                    <m:r>
                                      <m:t>B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m:t>e</m:t>
                                </m:r>
                                <m:r>
                                  <m:t>x</m:t>
                                </m:r>
                                <m:r>
                                  <m:t>t</m:t>
                                </m:r>
                              </m:sub>
                            </m:sSub>
                          </m:e>
                        </m:d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/>
                  <m:e>
                    <m:sSub>
                      <m:e>
                        <m:acc>
                          <m:accPr>
                            <m:chr m:val="̇"/>
                          </m:accPr>
                          <m:e>
                            <m:acc>
                              <m:accPr>
                                <m:chr m:val="⃗"/>
                              </m:accPr>
                              <m:e>
                                <m:r>
                                  <m:t>x</m:t>
                                </m:r>
                              </m:e>
                            </m:acc>
                          </m:e>
                        </m:acc>
                      </m:e>
                      <m:sub>
                        <m: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sSub>
                      <m:e>
                        <m:acc>
                          <m:accPr>
                            <m:chr m:val="⃗"/>
                          </m:accPr>
                          <m:e>
                            <m:r>
                              <m:t>v</m:t>
                            </m:r>
                          </m:e>
                        </m:acc>
                      </m:e>
                      <m:sub>
                        <m: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/>
                  <m:e>
                    <m:sSub>
                      <m:e>
                        <m:acc>
                          <m:accPr>
                            <m:chr m:val="⃗"/>
                          </m:accPr>
                          <m:e>
                            <m:r>
                              <m:t>x</m:t>
                            </m:r>
                          </m:e>
                        </m:acc>
                      </m:e>
                      <m:sub>
                        <m:r>
                          <m:t>i</m:t>
                        </m:r>
                      </m:sub>
                    </m:sSub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0</m:t>
                        </m:r>
                      </m:e>
                    </m:d>
                    <m:r>
                      <m:rPr>
                        <m:sty m:val="p"/>
                      </m:rPr>
                      <m:t>=</m:t>
                    </m:r>
                    <m:sSub>
                      <m:e>
                        <m:acc>
                          <m:accPr>
                            <m:chr m:val="⃗"/>
                          </m:accPr>
                          <m:e>
                            <m:r>
                              <m:t>x</m:t>
                            </m:r>
                          </m:e>
                        </m:acc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  <m:sSub>
                      <m:e>
                        <m:acc>
                          <m:accPr>
                            <m:chr m:val="⃗"/>
                          </m:accPr>
                          <m:e>
                            <m:r>
                              <m:t>v</m:t>
                            </m:r>
                          </m:e>
                        </m:acc>
                      </m:e>
                      <m:sub>
                        <m:r>
                          <m:t>i</m:t>
                        </m:r>
                      </m:sub>
                    </m:sSub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0</m:t>
                        </m:r>
                      </m:e>
                    </m:d>
                    <m:r>
                      <m:rPr>
                        <m:sty m:val="p"/>
                      </m:rPr>
                      <m:t>=</m:t>
                    </m:r>
                    <m:sSub>
                      <m:e>
                        <m:acc>
                          <m:accPr>
                            <m:chr m:val="⃗"/>
                          </m:accPr>
                          <m:e>
                            <m:r>
                              <m:t>v</m:t>
                            </m:r>
                          </m:e>
                        </m:acc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Следует отметить, что рассматривается нерелятивистская постановка задачи, и в таком виде она далее и решается.</w:t>
      </w:r>
    </w:p>
    <w:bookmarkEnd w:id="26"/>
    <w:bookmarkStart w:id="27" w:name="численное-решение-уравнений-движения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Численное решение уравнений движения</w:t>
      </w:r>
    </w:p>
    <w:p>
      <w:pPr>
        <w:pStyle w:val="FirstParagraph"/>
      </w:pPr>
      <w:r>
        <w:t xml:space="preserve">Уравнения движения решаются методом конечных разностей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acc>
                <m:accPr>
                  <m:chr m:val="⃗"/>
                </m:accPr>
                <m:e>
                  <m:r>
                    <m:t>x</m:t>
                  </m:r>
                </m:e>
              </m:acc>
            </m:e>
            <m:sub>
              <m:r>
                <m:t>t</m:t>
              </m:r>
              <m:r>
                <m:rPr>
                  <m:sty m:val="p"/>
                </m:rPr>
                <m:t>+</m:t>
              </m:r>
              <m:r>
                <m:t>1</m:t>
              </m:r>
            </m:sub>
          </m:sSub>
          <m:r>
            <m:rPr>
              <m:sty m:val="p"/>
            </m:rPr>
            <m:t>=</m:t>
          </m:r>
          <m:sSub>
            <m:e>
              <m:acc>
                <m:accPr>
                  <m:chr m:val="⃗"/>
                </m:accPr>
                <m:e>
                  <m:r>
                    <m:t>x</m:t>
                  </m:r>
                </m:e>
              </m:acc>
            </m:e>
            <m:sub>
              <m:r>
                <m:t>t</m:t>
              </m:r>
            </m:sub>
          </m:sSub>
          <m:r>
            <m:rPr>
              <m:sty m:val="p"/>
            </m:rPr>
            <m:t>+</m:t>
          </m:r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acc>
                    <m:accPr>
                      <m:chr m:val="⃗"/>
                    </m:accPr>
                    <m:e>
                      <m:r>
                        <m:t>x</m:t>
                      </m:r>
                    </m:e>
                  </m:acc>
                </m:e>
                <m:sub>
                  <m:r>
                    <m:t>t</m:t>
                  </m:r>
                </m:sub>
              </m:sSub>
              <m:r>
                <m:rPr>
                  <m:sty m:val="p"/>
                </m:rPr>
                <m:t>,</m:t>
              </m:r>
              <m:r>
                <m:rPr>
                  <m:sty m:val="p"/>
                </m:rPr>
                <m:t>…</m:t>
              </m:r>
            </m:e>
          </m:d>
          <m:r>
            <m:t>Δ</m:t>
          </m:r>
          <m:r>
            <m:t>t</m:t>
          </m:r>
        </m:oMath>
      </m:oMathPara>
    </w:p>
    <w:p>
      <w:pPr>
        <w:pStyle w:val="FirstParagraph"/>
      </w:pPr>
      <w:r>
        <w:t xml:space="preserve">Особое внимание уделяется выбору численной схемы, поскольку на каждом шаге моделирования возникает множество взаимодействий, и даже незначительные численные ошибки могут существенно повлиять на результат.</w:t>
      </w:r>
    </w:p>
    <w:p>
      <w:pPr>
        <w:pStyle w:val="BodyText"/>
      </w:pPr>
      <w:r>
        <w:t xml:space="preserve">В рамках тестирования применялась явная схема Эйлера, однако учитывались её ограничения.</w:t>
      </w:r>
    </w:p>
    <w:p>
      <w:pPr>
        <w:pStyle w:val="BodyText"/>
      </w:pPr>
      <w:r>
        <w:t xml:space="preserve">Среди альтернативных схем рассматривается метод Бориса — численная схема второго порядка, обладающая временной обратимостью. Однако он вносит в систему дополнительные силы, отсутствующие в исходной физической постановке, и на релятивистских скоростях эти силы становятся заметными и искажают результат</w:t>
      </w:r>
      <w:r>
        <w:t xml:space="preserve"> </w:t>
      </w:r>
      <w:r>
        <w:t xml:space="preserve">[1]</w:t>
      </w:r>
      <w:r>
        <w:t xml:space="preserve">.</w:t>
      </w:r>
    </w:p>
    <w:bookmarkEnd w:id="27"/>
    <w:bookmarkStart w:id="32" w:name="трудности-в-расчёте-собственного-поля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Трудности в расчёте собственного поля</w:t>
      </w:r>
    </w:p>
    <w:p>
      <w:pPr>
        <w:pStyle w:val="FirstParagraph"/>
      </w:pPr>
      <w:r>
        <w:t xml:space="preserve">Наибольшие сложности связаны не с решением уравнений движения, а с вычислением собственного поля пучка. Прямое моделирование взаимодействий по схеме</w:t>
      </w:r>
      <w:r>
        <w:t xml:space="preserve"> </w:t>
      </w:r>
      <w:r>
        <w:t xml:space="preserve">“</w:t>
      </w:r>
      <w:r>
        <w:t xml:space="preserve">каждый с каждым</w:t>
      </w:r>
      <w:r>
        <w:t xml:space="preserve">”</w:t>
      </w:r>
      <w:r>
        <w:t xml:space="preserve"> </w:t>
      </w:r>
      <w:r>
        <w:t xml:space="preserve">(Particle-to-Particle) требует вычислительных затрат порядка</w:t>
      </w:r>
      <w:r>
        <w:t xml:space="preserve"> </w:t>
      </w:r>
      <m:oMath>
        <m:r>
          <m:rPr>
            <m:sty m:val="p"/>
            <m:scr m:val="script"/>
          </m:rPr>
          <m:t>O</m:t>
        </m:r>
        <m:d>
          <m:dPr>
            <m:begChr m:val="("/>
            <m:endChr m:val=")"/>
            <m:sepChr m:val=""/>
            <m:grow/>
          </m:dPr>
          <m:e>
            <m:sSup>
              <m:e>
                <m:r>
                  <m:t>N</m:t>
                </m:r>
              </m:e>
              <m:sup>
                <m:r>
                  <m:t>2</m:t>
                </m:r>
              </m:sup>
            </m:sSup>
          </m:e>
        </m:d>
      </m:oMath>
      <w:r>
        <w:t xml:space="preserve">, что делает этот подход непрактичным даже при относительно малом числе частиц. Для иллюстрации на рис. 2 изображена система из 256 частиц, но в реальных задачах их число может достигать</w:t>
      </w:r>
      <w:r>
        <w:t xml:space="preserve"> </w:t>
      </w:r>
      <m:oMath>
        <m:sSup>
          <m:e>
            <m:r>
              <m:t>10</m:t>
            </m:r>
          </m:e>
          <m:sup>
            <m:r>
              <m:t>15</m:t>
            </m:r>
          </m:sup>
        </m:sSup>
      </m:oMath>
      <w:r>
        <w:t xml:space="preserve">.</w:t>
      </w:r>
    </w:p>
    <w:p>
      <w:pPr>
        <w:pStyle w:val="CaptionedFigure"/>
      </w:pPr>
      <w:bookmarkStart w:id="31" w:name="fig:002"/>
      <w:r>
        <w:drawing>
          <wp:inline>
            <wp:extent cx="5334000" cy="5259136"/>
            <wp:effectExtent b="0" l="0" r="0" t="0"/>
            <wp:docPr descr="Рис. 2: Система из 256 частиц с разным зарядом" title="" id="29" name="Picture"/>
            <a:graphic>
              <a:graphicData uri="http://schemas.openxmlformats.org/drawingml/2006/picture">
                <pic:pic>
                  <pic:nvPicPr>
                    <pic:cNvPr descr="image/beam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59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2: Система из 256 частиц с разным зарядом</w:t>
      </w:r>
    </w:p>
    <w:bookmarkEnd w:id="32"/>
    <w:bookmarkStart w:id="33" w:name="метод-крупных-частиц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Метод крупных частиц</w:t>
      </w:r>
    </w:p>
    <w:p>
      <w:pPr>
        <w:pStyle w:val="FirstParagraph"/>
      </w:pPr>
      <w:r>
        <w:t xml:space="preserve">Одним из способов снижения вычислительной сложности является объединение множества частиц в макрочастицы (Метод крупных частиц).</w:t>
      </w:r>
    </w:p>
    <w:p>
      <w:pPr>
        <w:pStyle w:val="BodyText"/>
      </w:pPr>
      <w:r>
        <w:t xml:space="preserve">Для каждой</w:t>
      </w:r>
      <w:r>
        <w:t xml:space="preserve"> </w:t>
      </w:r>
      <m:oMath>
        <m:r>
          <m:t>i</m:t>
        </m:r>
      </m:oMath>
      <w:r>
        <w:t xml:space="preserve">-й макрочастицы пару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("/>
              <m:endChr m:val=")"/>
              <m:sepChr m:val=""/>
              <m:grow/>
            </m:dPr>
            <m:e>
              <m:sSub>
                <m:e>
                  <m:acc>
                    <m:accPr>
                      <m:chr m:val="⃗"/>
                    </m:accPr>
                    <m:e>
                      <m:r>
                        <m:t>r</m:t>
                      </m:r>
                    </m:e>
                  </m:acc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,</m:t>
              </m:r>
              <m:sSub>
                <m:e>
                  <m:acc>
                    <m:accPr>
                      <m:chr m:val="⃗"/>
                    </m:accPr>
                    <m:e>
                      <m:r>
                        <m:t>v</m:t>
                      </m:r>
                    </m:e>
                  </m:acc>
                </m:e>
                <m:sub>
                  <m:r>
                    <m:t>i</m:t>
                  </m:r>
                </m:sub>
              </m:sSub>
            </m:e>
          </m:d>
        </m:oMath>
      </m:oMathPara>
    </w:p>
    <w:p>
      <w:pPr>
        <w:pStyle w:val="FirstParagraph"/>
      </w:pPr>
      <w:r>
        <w:t xml:space="preserve">можно взять, например, как среднее по микрочастицам.</w:t>
      </w:r>
    </w:p>
    <w:p>
      <w:pPr>
        <w:pStyle w:val="BodyText"/>
      </w:pPr>
      <w:r>
        <w:t xml:space="preserve">Тогда, взяв макрочастицу как облако с радиусом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поле вычисляется как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("/>
              <m:endChr m:val=")"/>
              <m:sepChr m:val=""/>
              <m:grow/>
            </m:dPr>
            <m:e>
              <m:sSub>
                <m:e>
                  <m:acc>
                    <m:accPr>
                      <m:chr m:val="⃗"/>
                    </m:accPr>
                    <m:e>
                      <m:r>
                        <m:t>E</m:t>
                      </m:r>
                    </m:e>
                  </m:acc>
                </m:e>
                <m:sub>
                  <m:r>
                    <m:t>s</m:t>
                  </m:r>
                </m:sub>
              </m:sSub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j</m:t>
                  </m:r>
                  <m:r>
                    <m:rPr>
                      <m:sty m:val="p"/>
                    </m:rPr>
                    <m:t>→</m:t>
                  </m:r>
                  <m:r>
                    <m:t>i</m:t>
                  </m:r>
                </m:e>
              </m:d>
              <m:r>
                <m:rPr>
                  <m:sty m:val="p"/>
                </m:rPr>
                <m:t>=</m:t>
              </m:r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4</m:t>
                  </m:r>
                  <m:r>
                    <m:t>π</m:t>
                  </m:r>
                  <m:sSub>
                    <m:e>
                      <m:r>
                        <m:t>ϵ</m:t>
                      </m:r>
                    </m:e>
                    <m:sub>
                      <m:r>
                        <m:t>0</m:t>
                      </m:r>
                    </m:sub>
                  </m:sSub>
                </m:den>
              </m:f>
              <m:f>
                <m:fPr>
                  <m:type m:val="bar"/>
                </m:fPr>
                <m:num>
                  <m:sSub>
                    <m:e>
                      <m:r>
                        <m:t>q</m:t>
                      </m:r>
                    </m:e>
                    <m:sub>
                      <m:r>
                        <m:t>j</m:t>
                      </m:r>
                    </m:sub>
                  </m:sSub>
                </m:num>
                <m:den>
                  <m:sSup>
                    <m:e>
                      <m:r>
                        <m:t>R</m:t>
                      </m:r>
                    </m:e>
                    <m:sup>
                      <m:r>
                        <m:t>3</m:t>
                      </m:r>
                    </m:sup>
                  </m:sSup>
                </m:den>
              </m:f>
              <m:acc>
                <m:accPr>
                  <m:chr m:val="⃗"/>
                </m:accPr>
                <m:e>
                  <m:r>
                    <m:t>r</m:t>
                  </m:r>
                </m:e>
              </m:acc>
              <m:r>
                <m:rPr>
                  <m:sty m:val="p"/>
                </m:rPr>
                <m:t>,</m:t>
              </m:r>
              <m:r>
                <m:t> </m:t>
              </m:r>
              <m:d>
                <m:dPr>
                  <m:begChr m:val="|"/>
                  <m:endChr m:val="|"/>
                  <m:sepChr m:val=""/>
                  <m:grow/>
                </m:dPr>
                <m:e/>
              </m:d>
              <m:acc>
                <m:accPr>
                  <m:chr m:val="⃗"/>
                </m:accPr>
                <m:e>
                  <m:r>
                    <m:t>r</m:t>
                  </m:r>
                </m:e>
              </m:acc>
              <m:d>
                <m:dPr>
                  <m:begChr m:val="|"/>
                  <m:endChr m:val="|"/>
                  <m:sepChr m:val=""/>
                  <m:grow/>
                </m:dPr>
                <m:e/>
              </m:d>
              <m:r>
                <m:rPr>
                  <m:sty m:val="p"/>
                </m:rPr>
                <m:t>&lt;</m:t>
              </m:r>
              <m:r>
                <m:t>R</m:t>
              </m:r>
            </m:e>
          </m:d>
        </m:oMath>
      </m:oMathPara>
    </w:p>
    <w:p>
      <w:pPr>
        <w:pStyle w:val="FirstParagraph"/>
      </w:pPr>
      <w:r>
        <w:t xml:space="preserve">Кроме того, этот подход позволяет смягчить проблему моделирования близких взаимодействий, так как взаимодействие происходит только при пересечении облаков, то есть когда расстояние между ними меньше</w:t>
      </w:r>
      <w:r>
        <w:t xml:space="preserve"> </w:t>
      </w:r>
      <m:oMath>
        <m:r>
          <m:t>R</m:t>
        </m:r>
      </m:oMath>
      <w:r>
        <w:t xml:space="preserve">. Это позволяет сократить число взаимодействий с</w:t>
      </w:r>
      <w:r>
        <w:t xml:space="preserve"> </w:t>
      </w:r>
      <m:oMath>
        <m:sSup>
          <m:e>
            <m:r>
              <m:t>10</m:t>
            </m:r>
          </m:e>
          <m:sup>
            <m:r>
              <m:t>15</m:t>
            </m:r>
          </m:sup>
        </m:sSup>
      </m:oMath>
      <w:r>
        <w:t xml:space="preserve"> </w:t>
      </w:r>
      <w:r>
        <w:t xml:space="preserve">до, например,</w:t>
      </w:r>
      <w:r>
        <w:t xml:space="preserve"> </w:t>
      </w:r>
      <m:oMath>
        <m:sSup>
          <m:e>
            <m:r>
              <m:t>10</m:t>
            </m:r>
          </m:e>
          <m:sup>
            <m:r>
              <m:t>9</m:t>
            </m:r>
          </m:sup>
        </m:sSup>
      </m:oMath>
      <w:r>
        <w:t xml:space="preserve">, что всё ещё является вычислительно затратным. Поэтому на практике чаще применяется другой метод — Particle-In-Cell (PIC).</w:t>
      </w:r>
    </w:p>
    <w:bookmarkEnd w:id="33"/>
    <w:bookmarkStart w:id="38" w:name="метод-particle-in-cell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Метод Particle-In-Cell</w:t>
      </w:r>
    </w:p>
    <w:p>
      <w:pPr>
        <w:pStyle w:val="FirstParagraph"/>
      </w:pPr>
      <w:r>
        <w:t xml:space="preserve">Метод PIC исключает необходимость моделирования парных взаимодействий. Вместо этого рассчитывается распределение заряда на сетке (рис. 3), и далее решается краевая задача для уравнения Пуассона с целью нахождения электрического поля.</w:t>
      </w:r>
    </w:p>
    <w:p>
      <w:pPr>
        <w:pStyle w:val="CaptionedFigure"/>
      </w:pPr>
      <w:bookmarkStart w:id="37" w:name="fig:003"/>
      <w:r>
        <w:drawing>
          <wp:inline>
            <wp:extent cx="5334000" cy="2843957"/>
            <wp:effectExtent b="0" l="0" r="0" t="0"/>
            <wp:docPr descr="Рис. 3: PIC" title="" id="35" name="Picture"/>
            <a:graphic>
              <a:graphicData uri="http://schemas.openxmlformats.org/drawingml/2006/picture">
                <pic:pic>
                  <pic:nvPicPr>
                    <pic:cNvPr descr="image/pic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3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3: PIC</w:t>
      </w:r>
    </w:p>
    <w:p>
      <w:pPr>
        <w:pStyle w:val="BodyText"/>
      </w:pPr>
      <w:r>
        <w:t xml:space="preserve">Именно этот метод чаще всего используется в прикладных задачах.</w:t>
      </w:r>
    </w:p>
    <w:bookmarkEnd w:id="38"/>
    <w:bookmarkStart w:id="41" w:name="Xbd0b1af5fdbce5026547110c7144340c38fd1c2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Ускорение расчётов с использованием графических процессоров</w:t>
      </w:r>
    </w:p>
    <w:p>
      <w:pPr>
        <w:pStyle w:val="FirstParagraph"/>
      </w:pPr>
      <w:r>
        <w:t xml:space="preserve">Даже при использовании макрочастиц и метода PIC последовательное решение задачи остаётся неприемлемо медленным. Поэтому в современных вычислениях активно применяются графические ускорители (GPU). Они позволяют эффективно распараллелить как решение уравнений движения, так и вычисление собственного поля пучка.</w:t>
      </w:r>
    </w:p>
    <w:p>
      <w:pPr>
        <w:pStyle w:val="BodyText"/>
      </w:pPr>
      <w:r>
        <w:t xml:space="preserve">Среди готовых решений:</w:t>
      </w:r>
    </w:p>
    <w:p>
      <w:pPr>
        <w:numPr>
          <w:ilvl w:val="0"/>
          <w:numId w:val="1002"/>
        </w:numPr>
        <w:pStyle w:val="Compact"/>
      </w:pPr>
      <w:hyperlink r:id="rId39">
        <w:r>
          <w:rPr>
            <w:rStyle w:val="Hyperlink"/>
          </w:rPr>
          <w:t xml:space="preserve">https://github.com/GabrielSCabrera/nBody</w:t>
        </w:r>
      </w:hyperlink>
      <w:r>
        <w:t xml:space="preserve"> </w:t>
      </w:r>
      <w:r>
        <w:t xml:space="preserve">— предназначен для моделирования задачи N-тел с электрическим взаимодействием. Подходит скорее для учебных целей, но демонстрирует общий подход.</w:t>
      </w:r>
    </w:p>
    <w:p>
      <w:pPr>
        <w:numPr>
          <w:ilvl w:val="0"/>
          <w:numId w:val="1002"/>
        </w:numPr>
        <w:pStyle w:val="Compact"/>
      </w:pPr>
      <w:hyperlink r:id="rId40">
        <w:r>
          <w:rPr>
            <w:rStyle w:val="Hyperlink"/>
          </w:rPr>
          <w:t xml:space="preserve">https://developer.nvidia.com/gpugems/gpugems3/part-v-physics-simulation/chapter-31-fast-n-body-simulation-cuda</w:t>
        </w:r>
      </w:hyperlink>
      <w:r>
        <w:t xml:space="preserve"> </w:t>
      </w:r>
      <w:r>
        <w:t xml:space="preserve">— ориентирован на гравитационные взаимодействия, но полезен с точки зрения изучения архитектуры GPU.</w:t>
      </w:r>
    </w:p>
    <w:p>
      <w:pPr>
        <w:numPr>
          <w:ilvl w:val="0"/>
          <w:numId w:val="1002"/>
        </w:numPr>
        <w:pStyle w:val="Compact"/>
      </w:pPr>
      <w:hyperlink r:id="rId40">
        <w:r>
          <w:rPr>
            <w:rStyle w:val="Hyperlink"/>
          </w:rPr>
          <w:t xml:space="preserve">https://developer.nvidia.com/gpugems/gpugems3/part-v-physics-simulation/chapter-31-fast-n-body-simulation-cuda</w:t>
        </w:r>
      </w:hyperlink>
      <w:r>
        <w:t xml:space="preserve"> </w:t>
      </w:r>
      <w:r>
        <w:t xml:space="preserve">— разрабатывается в CERN для задач ускорительной физики. Хотя пакет слабо поддерживается, его структура может оказаться полезной для ряда задач.</w:t>
      </w:r>
    </w:p>
    <w:bookmarkEnd w:id="41"/>
    <w:bookmarkStart w:id="46" w:name="архитектура-собственной-реализации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Архитектура собственной реализации</w:t>
      </w:r>
    </w:p>
    <w:p>
      <w:pPr>
        <w:pStyle w:val="FirstParagraph"/>
      </w:pPr>
      <w:r>
        <w:t xml:space="preserve">В рамках практической части проекта была разработана архитектура (рис. 4), сочетающая удобство настройки с возможностью высокопроизводительных вычислений. Python-обвязка обеспечивает гибкость при задании начальных условий и параметров моделирования. Хотя подобные задачи можно реализовывать и средствами CUDA на C/C++, использование Python значительно упрощает отладку и запуск, особенно при работе на вычислительных кластерах.</w:t>
      </w:r>
    </w:p>
    <w:p>
      <w:pPr>
        <w:pStyle w:val="CaptionedFigure"/>
      </w:pPr>
      <w:bookmarkStart w:id="45" w:name="fig:004"/>
      <w:r>
        <w:drawing>
          <wp:inline>
            <wp:extent cx="3441700" cy="4330700"/>
            <wp:effectExtent b="0" l="0" r="0" t="0"/>
            <wp:docPr descr="Рис. 4: Схема программного решения" title="" id="43" name="Picture"/>
            <a:graphic>
              <a:graphicData uri="http://schemas.openxmlformats.org/drawingml/2006/picture">
                <pic:pic>
                  <pic:nvPicPr>
                    <pic:cNvPr descr="image/nbody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433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4: Схема программного решения</w:t>
      </w:r>
    </w:p>
    <w:bookmarkEnd w:id="46"/>
    <w:bookmarkStart w:id="59" w:name="результаты-моделирования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Результаты моделирования</w:t>
      </w:r>
    </w:p>
    <w:p>
      <w:pPr>
        <w:pStyle w:val="FirstParagraph"/>
      </w:pPr>
      <w:r>
        <w:t xml:space="preserve">Реализация позволяет моделировать динамику пучка заряженных частиц в электромагнитном поле. Легко моделируются пучки до 200 тыс. частиц и приемлемо – до 500 тыс.</w:t>
      </w:r>
    </w:p>
    <w:p>
      <w:pPr>
        <w:pStyle w:val="CaptionedFigure"/>
      </w:pPr>
      <w:bookmarkStart w:id="50" w:name="fig:005"/>
      <w:r>
        <w:drawing>
          <wp:inline>
            <wp:extent cx="5334000" cy="3333750"/>
            <wp:effectExtent b="0" l="0" r="0" t="0"/>
            <wp:docPr descr="Рис. 5: Пучок 100 тыс. частиц на старте симуляции, вектор скорости направлен в катушку" title="" id="48" name="Picture"/>
            <a:graphic>
              <a:graphicData uri="http://schemas.openxmlformats.org/drawingml/2006/picture">
                <pic:pic>
                  <pic:nvPicPr>
                    <pic:cNvPr descr="image/start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5: Пучок 100 тыс. частиц на старте симуляции, вектор скорости направлен в катушку</w:t>
      </w:r>
    </w:p>
    <w:p>
      <w:pPr>
        <w:pStyle w:val="CaptionedFigure"/>
      </w:pPr>
      <w:bookmarkStart w:id="54" w:name="fig:006"/>
      <w:r>
        <w:drawing>
          <wp:inline>
            <wp:extent cx="5334000" cy="3333750"/>
            <wp:effectExtent b="0" l="0" r="0" t="0"/>
            <wp:docPr descr="Рис. 6: Фокусировка пучка" title="" id="52" name="Picture"/>
            <a:graphic>
              <a:graphicData uri="http://schemas.openxmlformats.org/drawingml/2006/picture">
                <pic:pic>
                  <pic:nvPicPr>
                    <pic:cNvPr descr="image/mid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6: Фокусировка пучка</w:t>
      </w:r>
    </w:p>
    <w:p>
      <w:pPr>
        <w:pStyle w:val="CaptionedFigure"/>
      </w:pPr>
      <w:bookmarkStart w:id="58" w:name="fig:007"/>
      <w:r>
        <w:drawing>
          <wp:inline>
            <wp:extent cx="5334000" cy="3333750"/>
            <wp:effectExtent b="0" l="0" r="0" t="0"/>
            <wp:docPr descr="Рис. 7: Разлет на выходе из катушки" title="" id="56" name="Picture"/>
            <a:graphic>
              <a:graphicData uri="http://schemas.openxmlformats.org/drawingml/2006/picture">
                <pic:pic>
                  <pic:nvPicPr>
                    <pic:cNvPr descr="image/end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7: Разлет на выходе из катушки</w:t>
      </w:r>
    </w:p>
    <w:bookmarkEnd w:id="59"/>
    <w:bookmarkStart w:id="64" w:name="дальнейшая-работа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Дальнейшая работа</w:t>
      </w:r>
    </w:p>
    <w:p>
      <w:pPr>
        <w:pStyle w:val="FirstParagraph"/>
      </w:pPr>
      <w:r>
        <w:t xml:space="preserve">Отдельной задачей остаётся учёт геометрии экспериментальной установки. Даже при её упрощении и грубой дискретизации проблема столкновений частиц становится вычислительно трудоёмкой, особенно при прямом переборе всех возможных пар.</w:t>
      </w:r>
    </w:p>
    <w:p>
      <w:pPr>
        <w:pStyle w:val="BodyText"/>
      </w:pPr>
      <w:r>
        <w:t xml:space="preserve">Наконец, важным аспектом является правильное использование различных уровней памяти в архитектуре видеокарт NVIDIA. На рис. 8 приведена иерархия памяти GPU</w:t>
      </w:r>
      <w:r>
        <w:t xml:space="preserve"> </w:t>
      </w:r>
      <w:r>
        <w:t xml:space="preserve">[2]</w:t>
      </w:r>
      <w:r>
        <w:t xml:space="preserve">, практически все типы которой доступны пользователю. От выбора типа памяти напрямую зависит производительность: при неправильной организации данных ускорение может быть полностью нивелировано.</w:t>
      </w:r>
    </w:p>
    <w:p>
      <w:pPr>
        <w:pStyle w:val="CaptionedFigure"/>
      </w:pPr>
      <w:bookmarkStart w:id="63" w:name="fig:008"/>
      <w:r>
        <w:drawing>
          <wp:inline>
            <wp:extent cx="5334000" cy="3108369"/>
            <wp:effectExtent b="0" l="0" r="0" t="0"/>
            <wp:docPr descr="Рис. 8: Архитектура памяти GPU" title="" id="61" name="Picture"/>
            <a:graphic>
              <a:graphicData uri="http://schemas.openxmlformats.org/drawingml/2006/picture">
                <pic:pic>
                  <pic:nvPicPr>
                    <pic:cNvPr descr="image/memory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8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8: Архитектура памяти GPU</w:t>
      </w:r>
    </w:p>
    <w:bookmarkEnd w:id="64"/>
    <w:bookmarkStart w:id="65" w:name="заключение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Заключение</w:t>
      </w:r>
    </w:p>
    <w:p>
      <w:pPr>
        <w:pStyle w:val="FirstParagraph"/>
      </w:pPr>
      <w:r>
        <w:t xml:space="preserve">Рассмотренная задача моделирования пучков заряженных частиц в электромагнитных полях требует комплексного подхода, сочетающего точные численные методы, эффективную архитектуру программного обеспечения и использование современных вычислительных ресурсов. Несмотря на ряд нерешённых проблем, разработанная архитектура демонстрирует потенциал для дальнейшего развития и внедрения в более сложные модели, включая учёт геометрии установки и использование PIC-методов.</w:t>
      </w:r>
    </w:p>
    <w:bookmarkEnd w:id="65"/>
    <w:bookmarkStart w:id="70" w:name="список-литературы"/>
    <w:p>
      <w:pPr>
        <w:pStyle w:val="Heading1"/>
      </w:pPr>
      <w:r>
        <w:t xml:space="preserve">Список литературы</w:t>
      </w:r>
    </w:p>
    <w:bookmarkStart w:id="69" w:name="refs"/>
    <w:bookmarkStart w:id="67" w:name="ref-vay2008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Vay J.-L.</w:t>
      </w:r>
      <w:r>
        <w:t xml:space="preserve"> </w:t>
      </w:r>
      <w:hyperlink r:id="rId66">
        <w:r>
          <w:rPr>
            <w:rStyle w:val="Hyperlink"/>
          </w:rPr>
          <w:t xml:space="preserve">Simulation of beams or plasmas crossing at relativistic velocitya)</w:t>
        </w:r>
      </w:hyperlink>
      <w:r>
        <w:t xml:space="preserve"> </w:t>
      </w:r>
      <w:r>
        <w:t xml:space="preserve">// Physics of Plasmas. 2008. Т. 15, № 5. С. 056701.</w:t>
      </w:r>
    </w:p>
    <w:bookmarkEnd w:id="67"/>
    <w:bookmarkStart w:id="68" w:name="ref-IntroductionCUDA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1.</w:t>
      </w:r>
      <w:r>
        <w:t xml:space="preserve"> </w:t>
      </w:r>
      <w:r>
        <w:t xml:space="preserve">Introduction</w:t>
      </w:r>
      <w:r>
        <w:t xml:space="preserve"> </w:t>
      </w:r>
      <w:r>
        <w:t xml:space="preserve">—</w:t>
      </w:r>
      <w:r>
        <w:t xml:space="preserve"> </w:t>
      </w:r>
      <w:r>
        <w:t xml:space="preserve">CUDA C</w:t>
      </w:r>
      <w:r>
        <w:t xml:space="preserve">++</w:t>
      </w:r>
      <w:r>
        <w:t xml:space="preserve"> </w:t>
      </w:r>
      <w:r>
        <w:t xml:space="preserve">Programming Guide</w:t>
      </w:r>
      <w:r>
        <w:t xml:space="preserve">. https://docs.nvidia.com/cuda/cuda-c-programming-guide/.</w:t>
      </w:r>
    </w:p>
    <w:bookmarkEnd w:id="68"/>
    <w:bookmarkEnd w:id="69"/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png" /><Relationship Type="http://schemas.openxmlformats.org/officeDocument/2006/relationships/image" Id="rId55" Target="media/rId55.png" /><Relationship Type="http://schemas.openxmlformats.org/officeDocument/2006/relationships/image" Id="rId20" Target="media/rId20.png" /><Relationship Type="http://schemas.openxmlformats.org/officeDocument/2006/relationships/image" Id="rId60" Target="media/rId60.png" /><Relationship Type="http://schemas.openxmlformats.org/officeDocument/2006/relationships/image" Id="rId51" Target="media/rId51.png" /><Relationship Type="http://schemas.openxmlformats.org/officeDocument/2006/relationships/image" Id="rId42" Target="media/rId42.png" /><Relationship Type="http://schemas.openxmlformats.org/officeDocument/2006/relationships/image" Id="rId34" Target="media/rId34.png" /><Relationship Type="http://schemas.openxmlformats.org/officeDocument/2006/relationships/image" Id="rId47" Target="media/rId47.png" /><Relationship Type="http://schemas.openxmlformats.org/officeDocument/2006/relationships/hyperlink" Id="rId40" Target="https://developer.nvidia.com/gpugems/gpugems3/part-v-physics-simulation/chapter-31-fast-n-body-simulation-cuda" TargetMode="External" /><Relationship Type="http://schemas.openxmlformats.org/officeDocument/2006/relationships/hyperlink" Id="rId66" Target="https://doi.org/10.1063/1.2837054" TargetMode="External" /><Relationship Type="http://schemas.openxmlformats.org/officeDocument/2006/relationships/hyperlink" Id="rId39" Target="https://github.com/GabrielSCabrera/nBody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0" Target="https://developer.nvidia.com/gpugems/gpugems3/part-v-physics-simulation/chapter-31-fast-n-body-simulation-cuda" TargetMode="External" /><Relationship Type="http://schemas.openxmlformats.org/officeDocument/2006/relationships/hyperlink" Id="rId66" Target="https://doi.org/10.1063/1.2837054" TargetMode="External" /><Relationship Type="http://schemas.openxmlformats.org/officeDocument/2006/relationships/hyperlink" Id="rId39" Target="https://github.com/GabrielSCabrera/nBody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Моделирование движения пучка в электромагнитном поле с помощью GPU</dc:title>
  <dc:creator>Кадров Виктор Максимович</dc:creator>
  <dc:language>ru-RU</dc:language>
  <cp:keywords/>
  <dcterms:created xsi:type="dcterms:W3CDTF">2025-05-16T20:15:51Z</dcterms:created>
  <dcterms:modified xsi:type="dcterms:W3CDTF">2025-05-16T20:15:51Z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tableEqns">
    <vt:lpwstr>False</vt:lpwstr>
  </property>
  <property fmtid="{D5CDD505-2E9C-101B-9397-08002B2CF9AE}" pid="82" name="tableTemplate">
    <vt:lpwstr>tableTitle ititleDelim t</vt:lpwstr>
  </property>
  <property fmtid="{D5CDD505-2E9C-101B-9397-08002B2CF9AE}" pid="83" name="tableTitle">
    <vt:lpwstr>Таблица</vt:lpwstr>
  </property>
  <property fmtid="{D5CDD505-2E9C-101B-9397-08002B2CF9AE}" pid="84" name="tblLabels">
    <vt:lpwstr>arabic</vt:lpwstr>
  </property>
  <property fmtid="{D5CDD505-2E9C-101B-9397-08002B2CF9AE}" pid="85" name="tblPrefix">
    <vt:lpwstr/>
  </property>
  <property fmtid="{D5CDD505-2E9C-101B-9397-08002B2CF9AE}" pid="86" name="tblPrefixTemplate">
    <vt:lpwstr>p i</vt:lpwstr>
  </property>
  <property fmtid="{D5CDD505-2E9C-101B-9397-08002B2CF9AE}" pid="87" name="titleDelim">
    <vt:lpwstr>:</vt:lpwstr>
  </property>
  <property fmtid="{D5CDD505-2E9C-101B-9397-08002B2CF9AE}" pid="88" name="toc">
    <vt:lpwstr>True</vt:lpwstr>
  </property>
  <property fmtid="{D5CDD505-2E9C-101B-9397-08002B2CF9AE}" pid="89" name="toc-depth">
    <vt:lpwstr>2</vt:lpwstr>
  </property>
  <property fmtid="{D5CDD505-2E9C-101B-9397-08002B2CF9AE}" pid="90" name="toc-title">
    <vt:lpwstr>Содержание</vt:lpwstr>
  </property>
</Properties>
</file>