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Проект</w:t>
      </w:r>
      <w:r>
        <w:t xml:space="preserve"> </w:t>
      </w:r>
      <w:r>
        <w:t xml:space="preserve">2:</w:t>
      </w:r>
      <w:r>
        <w:t xml:space="preserve"> </w:t>
      </w:r>
      <w:r>
        <w:t xml:space="preserve">Электрический</w:t>
      </w:r>
      <w:r>
        <w:t xml:space="preserve"> </w:t>
      </w:r>
      <w:r>
        <w:t xml:space="preserve">пробой.</w:t>
      </w:r>
    </w:p>
    <w:p>
      <w:pPr>
        <w:pStyle w:val="Subtitle"/>
      </w:pPr>
      <w:r>
        <w:t xml:space="preserve">Этап</w:t>
      </w:r>
      <w:r>
        <w:t xml:space="preserve"> </w:t>
      </w:r>
      <w:r>
        <w:t xml:space="preserve">2.</w:t>
      </w:r>
      <w:r>
        <w:t xml:space="preserve"> </w:t>
      </w:r>
      <w:r>
        <w:t xml:space="preserve">Алгоритмы</w:t>
      </w:r>
      <w:r>
        <w:t xml:space="preserve"> </w:t>
      </w:r>
      <w:r>
        <w:t xml:space="preserve">решения</w:t>
      </w:r>
      <w:r>
        <w:t xml:space="preserve"> </w:t>
      </w:r>
      <w:r>
        <w:t xml:space="preserve">задачи</w:t>
      </w:r>
    </w:p>
    <w:p>
      <w:pPr>
        <w:pStyle w:val="Author"/>
      </w:pPr>
      <w:r>
        <w:t xml:space="preserve">Кадров</w:t>
      </w:r>
      <w:r>
        <w:t xml:space="preserve"> </w:t>
      </w:r>
      <w:r>
        <w:t xml:space="preserve">Виктор</w:t>
      </w:r>
      <w:r>
        <w:t xml:space="preserve"> </w:t>
      </w:r>
      <w:r>
        <w:t xml:space="preserve">Максимович</w:t>
      </w:r>
      <w:r>
        <w:t xml:space="preserve"> </w:t>
      </w:r>
      <w:r>
        <w:t xml:space="preserve">and</w:t>
      </w:r>
      <w:r>
        <w:t xml:space="preserve"> </w:t>
      </w:r>
      <w:r>
        <w:t xml:space="preserve">Tуем</w:t>
      </w:r>
      <w:r>
        <w:t xml:space="preserve"> </w:t>
      </w:r>
      <w:r>
        <w:t xml:space="preserve">Гислен</w:t>
      </w:r>
      <w:r>
        <w:t xml:space="preserve"> </w:t>
      </w:r>
      <w:r>
        <w:t xml:space="preserve">and</w:t>
      </w:r>
      <w:r>
        <w:t xml:space="preserve"> </w:t>
      </w:r>
      <w:r>
        <w:t xml:space="preserve">Адабор</w:t>
      </w:r>
      <w:r>
        <w:t xml:space="preserve"> </w:t>
      </w:r>
      <w:r>
        <w:t xml:space="preserve">Кристофер</w:t>
      </w:r>
      <w:r>
        <w:t xml:space="preserve"> </w:t>
      </w:r>
      <w:r>
        <w:t xml:space="preserve">Твум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20" w:name="постановка-задачи"/>
    <w:p>
      <w:pPr>
        <w:pStyle w:val="Heading2"/>
      </w:pPr>
      <w:r>
        <w:rPr>
          <w:rStyle w:val="SectionNumber"/>
        </w:rPr>
        <w:t xml:space="preserve">0.1</w:t>
      </w:r>
      <w:r>
        <w:tab/>
      </w:r>
      <w:r>
        <w:t xml:space="preserve">Постановка задачи</w:t>
      </w:r>
    </w:p>
    <w:p>
      <w:pPr>
        <w:pStyle w:val="FirstParagraph"/>
      </w:pPr>
      <w:r>
        <w:rPr>
          <w:bCs/>
          <w:b/>
        </w:rPr>
        <w:t xml:space="preserve">Цель</w:t>
      </w:r>
      <w:r>
        <w:t xml:space="preserve">: Необходимо разработать алгоритм для решения задачи моделирования электрического пробоя (модель Нимейера, Пьетронеро и Висмана). Всего мы имеем 2 этапа моделирования:</w:t>
      </w:r>
    </w:p>
    <w:p>
      <w:pPr>
        <w:numPr>
          <w:ilvl w:val="0"/>
          <w:numId w:val="1001"/>
        </w:numPr>
        <w:pStyle w:val="Compact"/>
      </w:pPr>
      <w:r>
        <w:t xml:space="preserve">Расчет электрического поля</w:t>
      </w:r>
    </w:p>
    <w:p>
      <w:pPr>
        <w:numPr>
          <w:ilvl w:val="0"/>
          <w:numId w:val="1001"/>
        </w:numPr>
        <w:pStyle w:val="Compact"/>
      </w:pPr>
      <w:r>
        <w:t xml:space="preserve">Итерационное моделирования роста стримера (главной ветви заряда)</w:t>
      </w:r>
    </w:p>
    <w:p>
      <w:r>
        <w:pict>
          <v:rect style="width:0;height:1.5pt" o:hralign="center" o:hrstd="t" o:hr="t"/>
        </w:pict>
      </w:r>
    </w:p>
    <w:bookmarkEnd w:id="20"/>
    <w:bookmarkStart w:id="27" w:name="расчет-электрического-поля"/>
    <w:p>
      <w:pPr>
        <w:pStyle w:val="Heading2"/>
      </w:pPr>
      <w:r>
        <w:rPr>
          <w:rStyle w:val="SectionNumber"/>
        </w:rPr>
        <w:t xml:space="preserve">0.2</w:t>
      </w:r>
      <w:r>
        <w:tab/>
      </w:r>
      <w:r>
        <w:t xml:space="preserve">Расчет электрического поля</w:t>
      </w:r>
    </w:p>
    <w:bookmarkStart w:id="21" w:name="аппроксимация-вторых-производных"/>
    <w:p>
      <w:pPr>
        <w:pStyle w:val="Heading3"/>
      </w:pPr>
      <w:r>
        <w:rPr>
          <w:rStyle w:val="SectionNumber"/>
        </w:rPr>
        <w:t xml:space="preserve">0.2.1</w:t>
      </w:r>
      <w:r>
        <w:tab/>
      </w:r>
      <w:r>
        <w:t xml:space="preserve">Аппроксимация вторых производных</w:t>
      </w:r>
    </w:p>
    <w:p>
      <w:pPr>
        <w:pStyle w:val="FirstParagraph"/>
      </w:pPr>
      <w:r>
        <w:t xml:space="preserve">Поскольку задача расчета поля сводится (см. Этап 1) к решению уравнения Лапласа</w:t>
      </w:r>
    </w:p>
    <w:p>
      <w:pPr>
        <w:pStyle w:val="BodyText"/>
      </w:pPr>
      <m:oMathPara>
        <m:oMathParaPr>
          <m:jc m:val="center"/>
        </m:oMathParaPr>
        <m:oMath>
          <m:sSup>
            <m:e>
              <m:r>
                <m:rPr>
                  <m:sty m:val="p"/>
                </m:rPr>
                <m:t>∇</m:t>
              </m:r>
            </m:e>
            <m:sup>
              <m:r>
                <m:t>2</m:t>
              </m:r>
            </m:sup>
          </m:sSup>
          <m:r>
            <m:t>φ</m:t>
          </m:r>
          <m:r>
            <m:rPr>
              <m:sty m:val="p"/>
            </m:rPr>
            <m:t>=</m:t>
          </m:r>
          <m:r>
            <m:t>0</m:t>
          </m:r>
        </m:oMath>
      </m:oMathPara>
    </w:p>
    <w:p>
      <w:pPr>
        <w:pStyle w:val="FirstParagraph"/>
      </w:pPr>
      <w:r>
        <w:t xml:space="preserve">то мы можем использовать аппроксимацию электрического потенциала на сетке</w:t>
      </w:r>
    </w:p>
    <w:p>
      <w:pPr>
        <w:pStyle w:val="BodyText"/>
      </w:pPr>
      <m:oMathPara>
        <m:oMathParaPr>
          <m:jc m:val="center"/>
        </m:oMathParaPr>
        <m:oMath>
          <m:sSub>
            <m:e>
              <m:r>
                <m:t>φ</m:t>
              </m:r>
            </m:e>
            <m:sub>
              <m:r>
                <m:t>i</m:t>
              </m:r>
              <m:r>
                <m:rPr>
                  <m:sty m:val="p"/>
                </m:rPr>
                <m:t>,</m:t>
              </m:r>
              <m:r>
                <m:t>j</m:t>
              </m:r>
            </m:sub>
          </m:sSub>
          <m:r>
            <m:rPr>
              <m:sty m:val="p"/>
            </m:rPr>
            <m:t>=</m:t>
          </m:r>
          <m:f>
            <m:fPr>
              <m:type m:val="bar"/>
            </m:fPr>
            <m:num>
              <m:r>
                <m:t>1</m:t>
              </m:r>
            </m:num>
            <m:den>
              <m:r>
                <m:t>4</m:t>
              </m:r>
            </m:den>
          </m:f>
          <m:d>
            <m:dPr>
              <m:begChr m:val="("/>
              <m:endChr m:val=")"/>
              <m:sepChr m:val=""/>
              <m:grow/>
            </m:dPr>
            <m:e>
              <m:sSub>
                <m:e>
                  <m:r>
                    <m:t>φ</m:t>
                  </m:r>
                </m:e>
                <m:sub>
                  <m:r>
                    <m:t>i</m:t>
                  </m:r>
                  <m:r>
                    <m:rPr>
                      <m:sty m:val="p"/>
                    </m:rPr>
                    <m:t>−</m:t>
                  </m:r>
                  <m:r>
                    <m:t>1</m:t>
                  </m:r>
                  <m:r>
                    <m:rPr>
                      <m:sty m:val="p"/>
                    </m:rPr>
                    <m:t>,</m:t>
                  </m:r>
                  <m:r>
                    <m:t>j</m:t>
                  </m:r>
                </m:sub>
              </m:sSub>
              <m:r>
                <m:rPr>
                  <m:sty m:val="p"/>
                </m:rPr>
                <m:t>+</m:t>
              </m:r>
              <m:sSub>
                <m:e>
                  <m:r>
                    <m:t>φ</m:t>
                  </m:r>
                </m:e>
                <m:sub>
                  <m:r>
                    <m:t>i</m:t>
                  </m:r>
                  <m:r>
                    <m:rPr>
                      <m:sty m:val="p"/>
                    </m:rPr>
                    <m:t>+</m:t>
                  </m:r>
                  <m:r>
                    <m:t>1</m:t>
                  </m:r>
                  <m:r>
                    <m:rPr>
                      <m:sty m:val="p"/>
                    </m:rPr>
                    <m:t>,</m:t>
                  </m:r>
                  <m:r>
                    <m:t>j</m:t>
                  </m:r>
                </m:sub>
              </m:sSub>
              <m:r>
                <m:rPr>
                  <m:sty m:val="p"/>
                </m:rPr>
                <m:t>+</m:t>
              </m:r>
              <m:sSub>
                <m:e>
                  <m:r>
                    <m:t>φ</m:t>
                  </m:r>
                </m:e>
                <m:sub>
                  <m:r>
                    <m:t>i</m:t>
                  </m:r>
                  <m:r>
                    <m:rPr>
                      <m:sty m:val="p"/>
                    </m:rPr>
                    <m:t>,</m:t>
                  </m:r>
                  <m:r>
                    <m:t>j</m:t>
                  </m:r>
                  <m:r>
                    <m:rPr>
                      <m:sty m:val="p"/>
                    </m:rPr>
                    <m:t>−</m:t>
                  </m:r>
                  <m:r>
                    <m:t>1</m:t>
                  </m:r>
                </m:sub>
              </m:sSub>
              <m:r>
                <m:rPr>
                  <m:sty m:val="p"/>
                </m:rPr>
                <m:t>+</m:t>
              </m:r>
              <m:sSub>
                <m:e>
                  <m:r>
                    <m:t>φ</m:t>
                  </m:r>
                </m:e>
                <m:sub>
                  <m:r>
                    <m:t>i</m:t>
                  </m:r>
                  <m:r>
                    <m:rPr>
                      <m:sty m:val="p"/>
                    </m:rPr>
                    <m:t>,</m:t>
                  </m:r>
                  <m:r>
                    <m:t>j</m:t>
                  </m:r>
                  <m:r>
                    <m:rPr>
                      <m:sty m:val="p"/>
                    </m:rPr>
                    <m:t>+</m:t>
                  </m:r>
                  <m:r>
                    <m:t>1</m:t>
                  </m:r>
                </m:sub>
              </m:sSub>
            </m:e>
          </m:d>
        </m:oMath>
      </m:oMathPara>
    </w:p>
    <w:p>
      <w:pPr>
        <w:pStyle w:val="FirstParagraph"/>
      </w:pPr>
      <w:r>
        <w:t xml:space="preserve">### Численное решение</w:t>
      </w:r>
      <w:r>
        <w:t xml:space="preserve"> </w:t>
      </w:r>
      <w:r>
        <w:t xml:space="preserve">Таким образом, для решения этого уравнения методом конечных разностей нам необохдимо:</w:t>
      </w:r>
      <w:r>
        <w:t xml:space="preserve"> </w:t>
      </w:r>
      <w:r>
        <w:t xml:space="preserve">1. Разбить сетку с шагом</w:t>
      </w:r>
      <w:r>
        <w:t xml:space="preserve"> </w:t>
      </w:r>
      <m:oMath>
        <m:r>
          <m:t>Δ</m:t>
        </m:r>
      </m:oMath>
      <w:r>
        <w:t xml:space="preserve"> </w:t>
      </w:r>
      <w:r>
        <w:t xml:space="preserve">2. Задать граничные условия</w:t>
      </w:r>
      <w:r>
        <w:t xml:space="preserve"> </w:t>
      </w:r>
      <w:r>
        <w:t xml:space="preserve">3. Расчитывать</w:t>
      </w:r>
      <w:r>
        <w:t xml:space="preserve"> </w:t>
      </w:r>
      <m:oMath>
        <m:sSub>
          <m:e>
            <m:r>
              <m:t>φ</m:t>
            </m:r>
          </m:e>
          <m:sub>
            <m:r>
              <m:t>i</m:t>
            </m:r>
            <m:r>
              <m:rPr>
                <m:sty m:val="p"/>
              </m:rPr>
              <m:t>,</m:t>
            </m:r>
            <m:r>
              <m:t>j</m:t>
            </m:r>
          </m:sub>
        </m:sSub>
      </m:oMath>
      <w:r>
        <w:t xml:space="preserve"> </w:t>
      </w:r>
      <w:r>
        <w:t xml:space="preserve">в каждом узле.</w:t>
      </w:r>
      <w:r>
        <w:t xml:space="preserve"> </w:t>
      </w:r>
      <w:r>
        <w:t xml:space="preserve">4. Повторять пункт 3 до достижения сходимости</w:t>
      </w:r>
    </w:p>
    <w:bookmarkEnd w:id="21"/>
    <w:bookmarkStart w:id="26" w:name="сетка"/>
    <w:p>
      <w:pPr>
        <w:pStyle w:val="Heading3"/>
      </w:pPr>
      <w:r>
        <w:rPr>
          <w:rStyle w:val="SectionNumber"/>
        </w:rPr>
        <w:t xml:space="preserve">0.2.2</w:t>
      </w:r>
      <w:r>
        <w:tab/>
      </w:r>
      <w:r>
        <w:t xml:space="preserve">Сетка</w:t>
      </w:r>
    </w:p>
    <w:p>
      <w:pPr>
        <w:pStyle w:val="FirstParagraph"/>
      </w:pPr>
      <w:r>
        <w:t xml:space="preserve">Часто рассматривается система, состоящая из двух горизонтальных плоских электродов, пространство между которыми заполнено диэлектриком. Удобно задать потенциал одного из электродов равным нулю. Тогда потенциал второго электрода равен приложенному напряжению. Для простоты можно рассматривать задачу в прямоугольной области,</w:t>
      </w:r>
      <w:r>
        <w:t xml:space="preserve"> </w:t>
      </w:r>
      <w:r>
        <w:t xml:space="preserve">ограниченной сверху и снизу электродами, а слева и справа — вертикальными границами, на которых тоже необходимо задать граничные условия.</w:t>
      </w:r>
    </w:p>
    <w:p>
      <w:pPr>
        <w:pStyle w:val="CaptionedFigure"/>
      </w:pPr>
      <w:bookmarkStart w:id="25" w:name="fig:001"/>
      <w:r>
        <w:drawing>
          <wp:inline>
            <wp:extent cx="5334000" cy="4334882"/>
            <wp:effectExtent b="0" l="0" r="0" t="0"/>
            <wp:docPr descr="Рис. 1: Пример системы из двух электродов"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4334882"/>
                    </a:xfrm>
                    <a:prstGeom prst="rect">
                      <a:avLst/>
                    </a:prstGeom>
                    <a:noFill/>
                    <a:ln w="9525">
                      <a:noFill/>
                      <a:headEnd/>
                      <a:tailEnd/>
                    </a:ln>
                  </pic:spPr>
                </pic:pic>
              </a:graphicData>
            </a:graphic>
          </wp:inline>
        </w:drawing>
      </w:r>
      <w:bookmarkEnd w:id="25"/>
    </w:p>
    <w:p>
      <w:pPr>
        <w:pStyle w:val="ImageCaption"/>
      </w:pPr>
      <w:r>
        <w:t xml:space="preserve">Рис. 1: Пример системы из двух электродов</w:t>
      </w:r>
    </w:p>
    <w:bookmarkEnd w:id="26"/>
    <w:bookmarkEnd w:id="27"/>
    <w:bookmarkStart w:id="29" w:name="модель-роста-стримера"/>
    <w:p>
      <w:pPr>
        <w:pStyle w:val="Heading2"/>
      </w:pPr>
      <w:r>
        <w:rPr>
          <w:rStyle w:val="SectionNumber"/>
        </w:rPr>
        <w:t xml:space="preserve">0.3</w:t>
      </w:r>
      <w:r>
        <w:tab/>
      </w:r>
      <w:r>
        <w:t xml:space="preserve">Модель роста стримера</w:t>
      </w:r>
    </w:p>
    <w:p>
      <w:pPr>
        <w:pStyle w:val="FirstParagraph"/>
      </w:pPr>
      <w:r>
        <w:t xml:space="preserve">Рост начинается с одной из точек на электроде. На каждом шаге роста с некоторой вероятностью может образоваться одна веточка разрядной структуры. Эта веточка будет соединять два соседних узла сетки, один из которых уже принадлежит разрядной структуре, а другой является «диэлектриком».</w:t>
      </w:r>
    </w:p>
    <w:bookmarkStart w:id="28" w:name="рост"/>
    <w:p>
      <w:pPr>
        <w:pStyle w:val="Heading3"/>
      </w:pPr>
      <w:r>
        <w:rPr>
          <w:rStyle w:val="SectionNumber"/>
        </w:rPr>
        <w:t xml:space="preserve">0.3.1</w:t>
      </w:r>
      <w:r>
        <w:tab/>
      </w:r>
      <w:r>
        <w:t xml:space="preserve">Рост</w:t>
      </w:r>
    </w:p>
    <w:p>
      <w:pPr>
        <w:pStyle w:val="FirstParagraph"/>
      </w:pPr>
      <w:r>
        <w:t xml:space="preserve">Удобно рассматривать рост структуры с электрода, имеющего нулевой потенциал.</w:t>
      </w:r>
    </w:p>
    <w:p>
      <w:pPr>
        <w:pStyle w:val="BodyText"/>
      </w:pPr>
      <w:r>
        <w:t xml:space="preserve">Обычно предполагают, что вероятность образования новой ветки приближенно равна</w:t>
      </w:r>
      <w:r>
        <w:t xml:space="preserve"> </w:t>
      </w:r>
      <m:oMath>
        <m:r>
          <m:t>p</m:t>
        </m:r>
        <m:d>
          <m:dPr>
            <m:begChr m:val="("/>
            <m:endChr m:val=")"/>
            <m:sepChr m:val=""/>
            <m:grow/>
          </m:dPr>
          <m:e>
            <m:r>
              <m:t>E</m:t>
            </m:r>
          </m:e>
        </m:d>
        <m:r>
          <m:rPr>
            <m:sty m:val="p"/>
          </m:rPr>
          <m:t>∼</m:t>
        </m:r>
        <m:sSup>
          <m:e>
            <m:r>
              <m:t>E</m:t>
            </m:r>
          </m:e>
          <m:sup>
            <m:r>
              <m:t>η</m:t>
            </m:r>
          </m:sup>
        </m:sSup>
      </m:oMath>
      <w:r>
        <w:t xml:space="preserve">, где</w:t>
      </w:r>
      <w:r>
        <w:t xml:space="preserve"> </w:t>
      </w:r>
      <m:oMath>
        <m:r>
          <m:t>η</m:t>
        </m:r>
      </m:oMath>
      <w:r>
        <w:t xml:space="preserve"> </w:t>
      </w:r>
      <w:r>
        <w:t xml:space="preserve">— так называемый показатель роста, зависящий только от свойств диэлектрика.</w:t>
      </w:r>
    </w:p>
    <w:p>
      <w:pPr>
        <w:pStyle w:val="BodyText"/>
      </w:pPr>
      <w:r>
        <w:t xml:space="preserve">На каждом шаге роста случайный процесс выбора новой веточки структуры реализуется следующим алгоритмом:</w:t>
      </w:r>
    </w:p>
    <w:p>
      <w:pPr>
        <w:numPr>
          <w:ilvl w:val="0"/>
          <w:numId w:val="1002"/>
        </w:numPr>
        <w:pStyle w:val="Compact"/>
      </w:pPr>
      <w:r>
        <w:t xml:space="preserve">Для каждого возможного направления роста считается сумма</w:t>
      </w:r>
      <w:r>
        <w:t xml:space="preserve"> </w:t>
      </w:r>
      <m:oMath>
        <m:r>
          <m:t>Z</m:t>
        </m:r>
        <m:r>
          <m:rPr>
            <m:sty m:val="p"/>
          </m:rPr>
          <m:t>=</m:t>
        </m:r>
        <m:nary>
          <m:naryPr>
            <m:chr m:val="∑"/>
            <m:limLoc m:val="undOvr"/>
            <m:subHide m:val="0"/>
            <m:supHide m:val="0"/>
          </m:naryPr>
          <m:sub>
            <m:r>
              <m:t>k</m:t>
            </m:r>
            <m:r>
              <m:rPr>
                <m:sty m:val="p"/>
              </m:rPr>
              <m:t>=</m:t>
            </m:r>
            <m:r>
              <m:t>1</m:t>
            </m:r>
          </m:sub>
          <m:sup>
            <m:r>
              <m:t>M</m:t>
            </m:r>
          </m:sup>
          <m:e>
            <m:sSubSup>
              <m:e>
                <m:r>
                  <m:t>E</m:t>
                </m:r>
              </m:e>
              <m:sub>
                <m:r>
                  <m:t>k</m:t>
                </m:r>
              </m:sub>
              <m:sup>
                <m:r>
                  <m:t>η</m:t>
                </m:r>
              </m:sup>
            </m:sSubSup>
          </m:e>
        </m:nary>
      </m:oMath>
    </w:p>
    <w:p>
      <w:pPr>
        <w:numPr>
          <w:ilvl w:val="0"/>
          <w:numId w:val="1002"/>
        </w:numPr>
        <w:pStyle w:val="Compact"/>
      </w:pPr>
      <w:r>
        <w:t xml:space="preserve">Случайным образом выбирается число</w:t>
      </w:r>
      <w:r>
        <w:t xml:space="preserve"> </w:t>
      </w:r>
      <m:oMath>
        <m:r>
          <m:t>ϵ</m:t>
        </m:r>
      </m:oMath>
      <w:r>
        <w:t xml:space="preserve"> </w:t>
      </w:r>
      <w:r>
        <w:t xml:space="preserve">от 0 до Z</w:t>
      </w:r>
    </w:p>
    <w:p>
      <w:pPr>
        <w:numPr>
          <w:ilvl w:val="0"/>
          <w:numId w:val="1002"/>
        </w:numPr>
        <w:pStyle w:val="Compact"/>
      </w:pPr>
      <w:r>
        <w:t xml:space="preserve">Затем повторно шаг за шагом рассчитывается сумма Z до тех пор, пока текущая сумма не станет больше</w:t>
      </w:r>
      <w:r>
        <w:t xml:space="preserve"> </w:t>
      </w:r>
      <m:oMath>
        <m:r>
          <m:t>ϵ</m:t>
        </m:r>
      </m:oMath>
      <w:r>
        <w:t xml:space="preserve">. Тот узел, для которого сумма стала больше</w:t>
      </w:r>
      <w:r>
        <w:t xml:space="preserve"> </w:t>
      </w:r>
      <m:oMath>
        <m:r>
          <m:t>ϵ</m:t>
        </m:r>
      </m:oMath>
      <w:r>
        <w:t xml:space="preserve">, присоединяется к структуре.</w:t>
      </w:r>
    </w:p>
    <w:p>
      <w:pPr>
        <w:numPr>
          <w:ilvl w:val="0"/>
          <w:numId w:val="1002"/>
        </w:numPr>
        <w:pStyle w:val="Compact"/>
      </w:pPr>
      <w:r>
        <w:t xml:space="preserve">Новой образовавшейся веточке присваивается значение потенциала того электрода, с которого начался рост этого стримера.</w:t>
      </w:r>
    </w:p>
    <w:p>
      <w:pPr>
        <w:numPr>
          <w:ilvl w:val="0"/>
          <w:numId w:val="1002"/>
        </w:numPr>
        <w:pStyle w:val="Compact"/>
      </w:pPr>
      <w:r>
        <w:t xml:space="preserve">Алгоритм повторяется до тех пор, пока стримир не дойдет до второго электрода.</w:t>
      </w:r>
    </w:p>
    <w:p>
      <w:pPr>
        <w:pStyle w:val="FirstParagraph"/>
      </w:pPr>
      <w:r>
        <w:t xml:space="preserve">Таким образом, мы получаем однозвенную структуру стримера.</w:t>
      </w:r>
    </w:p>
    <w:bookmarkEnd w:id="28"/>
    <w:bookmarkEnd w:id="29"/>
    <w:bookmarkStart w:id="30" w:name="заключение"/>
    <w:p>
      <w:pPr>
        <w:pStyle w:val="Heading1"/>
      </w:pPr>
      <w:r>
        <w:rPr>
          <w:rStyle w:val="SectionNumber"/>
        </w:rPr>
        <w:t xml:space="preserve">1</w:t>
      </w:r>
      <w:r>
        <w:tab/>
      </w:r>
      <w:r>
        <w:t xml:space="preserve">Заключение</w:t>
      </w:r>
    </w:p>
    <w:p>
      <w:pPr>
        <w:pStyle w:val="FirstParagraph"/>
      </w:pPr>
      <w:r>
        <w:t xml:space="preserve">Был подготовлен алгоритм для решения задачи моделирования пробоя в диэлектрике.</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2: Электрический пробой.</dc:title>
  <dc:creator>Кадров Виктор Максимович and Tуем Гислен and Адабор Кристофер Твум</dc:creator>
  <dc:language>ru-RU</dc:language>
  <cp:keywords/>
  <dcterms:created xsi:type="dcterms:W3CDTF">2025-04-12T20:36:41Z</dcterms:created>
  <dcterms:modified xsi:type="dcterms:W3CDTF">2025-04-12T20:36:41Z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IBM Plex Serif</vt:lpwstr>
  </property>
  <property fmtid="{D5CDD505-2E9C-101B-9397-08002B2CF9AE}" pid="52" name="mainfontoptions">
    <vt:lpwstr>Ligatures=Common,Ligatures=TeX,Scale=0.94</vt:lpwstr>
  </property>
  <property fmtid="{D5CDD505-2E9C-101B-9397-08002B2CF9AE}" pid="53" name="mathfont">
    <vt:lpwstr>STIX Two Math</vt:lpwstr>
  </property>
  <property fmtid="{D5CDD505-2E9C-101B-9397-08002B2CF9AE}" pid="54" name="mathfontoptions">
    <vt:lpwstr/>
  </property>
  <property fmtid="{D5CDD505-2E9C-101B-9397-08002B2CF9AE}" pid="55" name="monofont">
    <vt:lpwstr>IBM Plex Mono</vt:lpwstr>
  </property>
  <property fmtid="{D5CDD505-2E9C-101B-9397-08002B2CF9AE}" pid="56" name="monofontoptions">
    <vt:lpwstr>Scale=MatchLowercase,Scale=0.94,FakeStretch=0.9</vt:lpwstr>
  </property>
  <property fmtid="{D5CDD505-2E9C-101B-9397-08002B2CF9AE}" pid="57" name="nameInLink">
    <vt:lpwstr>False</vt:lpwstr>
  </property>
  <property fmtid="{D5CDD505-2E9C-101B-9397-08002B2CF9AE}" pid="58" name="numberSections">
    <vt:lpwstr>False</vt:lpwstr>
  </property>
  <property fmtid="{D5CDD505-2E9C-101B-9397-08002B2CF9AE}" pid="59" name="pairDelim">
    <vt:lpwstr>, </vt:lpwstr>
  </property>
  <property fmtid="{D5CDD505-2E9C-101B-9397-08002B2CF9AE}" pid="60" name="papersize">
    <vt:lpwstr>a4</vt:lpwstr>
  </property>
  <property fmtid="{D5CDD505-2E9C-101B-9397-08002B2CF9AE}" pid="61" name="polyglossia-lang">
    <vt:lpwstr/>
  </property>
  <property fmtid="{D5CDD505-2E9C-101B-9397-08002B2CF9AE}" pid="62" name="polyglossia-otherlangs">
    <vt:lpwstr/>
  </property>
  <property fmtid="{D5CDD505-2E9C-101B-9397-08002B2CF9AE}" pid="63" name="rangeDelim">
    <vt:lpwstr>-</vt:lpwstr>
  </property>
  <property fmtid="{D5CDD505-2E9C-101B-9397-08002B2CF9AE}" pid="64" name="refDelim">
    <vt:lpwstr>, </vt:lpwstr>
  </property>
  <property fmtid="{D5CDD505-2E9C-101B-9397-08002B2CF9AE}" pid="65" name="refIndexTemplate">
    <vt:lpwstr>isuf</vt:lpwstr>
  </property>
  <property fmtid="{D5CDD505-2E9C-101B-9397-08002B2CF9AE}" pid="66" name="romanfont">
    <vt:lpwstr>IBM Plex Serif</vt:lpwstr>
  </property>
  <property fmtid="{D5CDD505-2E9C-101B-9397-08002B2CF9AE}" pid="67" name="romanfontoptions">
    <vt:lpwstr>Ligatures=Common,Ligatures=TeX,Scale=0.94</vt:lpwstr>
  </property>
  <property fmtid="{D5CDD505-2E9C-101B-9397-08002B2CF9AE}" pid="68" name="sansfont">
    <vt:lpwstr>IBM Plex Sans</vt:lpwstr>
  </property>
  <property fmtid="{D5CDD505-2E9C-101B-9397-08002B2CF9AE}" pid="69" name="sansfontoptions">
    <vt:lpwstr>Ligatures=Common,Ligatures=TeX,Scale=MatchLowercase,Scale=0.94</vt:lpwstr>
  </property>
  <property fmtid="{D5CDD505-2E9C-101B-9397-08002B2CF9AE}" pid="70" name="secHeaderDelim">
    <vt:lpwstr> </vt:lpwstr>
  </property>
  <property fmtid="{D5CDD505-2E9C-101B-9397-08002B2CF9AE}" pid="71" name="secHeaderTemplate">
    <vt:lpwstr>isecHeaderDelim[n]t</vt:lpwstr>
  </property>
  <property fmtid="{D5CDD505-2E9C-101B-9397-08002B2CF9AE}" pid="72" name="secLabels">
    <vt:lpwstr>arabic</vt:lpwstr>
  </property>
  <property fmtid="{D5CDD505-2E9C-101B-9397-08002B2CF9AE}" pid="73" name="secPrefix">
    <vt:lpwstr/>
  </property>
  <property fmtid="{D5CDD505-2E9C-101B-9397-08002B2CF9AE}" pid="74" name="secPrefixTemplate">
    <vt:lpwstr>p i</vt:lpwstr>
  </property>
  <property fmtid="{D5CDD505-2E9C-101B-9397-08002B2CF9AE}" pid="75" name="sectionsDepth">
    <vt:lpwstr>0</vt:lpwstr>
  </property>
  <property fmtid="{D5CDD505-2E9C-101B-9397-08002B2CF9AE}" pid="76" name="subfigGrid">
    <vt:lpwstr>False</vt:lpwstr>
  </property>
  <property fmtid="{D5CDD505-2E9C-101B-9397-08002B2CF9AE}" pid="77" name="subfigLabels">
    <vt:lpwstr>alpha a</vt:lpwstr>
  </property>
  <property fmtid="{D5CDD505-2E9C-101B-9397-08002B2CF9AE}" pid="78" name="subfigureChildTemplate">
    <vt:lpwstr>i</vt:lpwstr>
  </property>
  <property fmtid="{D5CDD505-2E9C-101B-9397-08002B2CF9AE}" pid="79" name="subfigureRefIndexTemplate">
    <vt:lpwstr>isuf (s)</vt:lpwstr>
  </property>
  <property fmtid="{D5CDD505-2E9C-101B-9397-08002B2CF9AE}" pid="80" name="subfigureTemplate">
    <vt:lpwstr>figureTitle ititleDelim t. ccs</vt:lpwstr>
  </property>
  <property fmtid="{D5CDD505-2E9C-101B-9397-08002B2CF9AE}" pid="81" name="subtitle">
    <vt:lpwstr>Этап 2. Алгоритмы решения задачи</vt:lpwstr>
  </property>
  <property fmtid="{D5CDD505-2E9C-101B-9397-08002B2CF9AE}" pid="82" name="tableEqns">
    <vt:lpwstr>False</vt:lpwstr>
  </property>
  <property fmtid="{D5CDD505-2E9C-101B-9397-08002B2CF9AE}" pid="83" name="tableTemplate">
    <vt:lpwstr>tableTitle ititleDelim t</vt:lpwstr>
  </property>
  <property fmtid="{D5CDD505-2E9C-101B-9397-08002B2CF9AE}" pid="84" name="tableTitle">
    <vt:lpwstr>Таблица</vt:lpwstr>
  </property>
  <property fmtid="{D5CDD505-2E9C-101B-9397-08002B2CF9AE}" pid="85" name="tblLabels">
    <vt:lpwstr>arabic</vt:lpwstr>
  </property>
  <property fmtid="{D5CDD505-2E9C-101B-9397-08002B2CF9AE}" pid="86" name="tblPrefix">
    <vt:lpwstr/>
  </property>
  <property fmtid="{D5CDD505-2E9C-101B-9397-08002B2CF9AE}" pid="87" name="tblPrefixTemplate">
    <vt:lpwstr>p i</vt:lpwstr>
  </property>
  <property fmtid="{D5CDD505-2E9C-101B-9397-08002B2CF9AE}" pid="88" name="titleDelim">
    <vt:lpwstr>:</vt:lpwstr>
  </property>
  <property fmtid="{D5CDD505-2E9C-101B-9397-08002B2CF9AE}" pid="89" name="toc">
    <vt:lpwstr>True</vt:lpwstr>
  </property>
  <property fmtid="{D5CDD505-2E9C-101B-9397-08002B2CF9AE}" pid="90" name="toc-depth">
    <vt:lpwstr>2</vt:lpwstr>
  </property>
  <property fmtid="{D5CDD505-2E9C-101B-9397-08002B2CF9AE}" pid="91" name="toc-title">
    <vt:lpwstr>Содержание</vt:lpwstr>
  </property>
</Properties>
</file>