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Исследование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TCP</w:t>
      </w:r>
      <w:r>
        <w:t xml:space="preserve"> </w:t>
      </w:r>
      <w:r>
        <w:t xml:space="preserve">и</w:t>
      </w:r>
      <w:r>
        <w:t xml:space="preserve"> </w:t>
      </w:r>
      <w:r>
        <w:t xml:space="preserve">алгоритма</w:t>
      </w:r>
      <w:r>
        <w:t xml:space="preserve"> </w:t>
      </w:r>
      <w:r>
        <w:t xml:space="preserve">управления</w:t>
      </w:r>
      <w:r>
        <w:t xml:space="preserve"> </w:t>
      </w:r>
      <w:r>
        <w:t xml:space="preserve">очередью</w:t>
      </w:r>
      <w:r>
        <w:t xml:space="preserve"> </w:t>
      </w:r>
      <w:r>
        <w:t xml:space="preserve">RED</w:t>
      </w:r>
    </w:p>
    <w:p>
      <w:pPr>
        <w:pStyle w:val="Author"/>
      </w:pPr>
      <w:r>
        <w:t xml:space="preserve">Кадров</w:t>
      </w:r>
      <w:r>
        <w:t xml:space="preserve"> </w:t>
      </w:r>
      <w:r>
        <w:t xml:space="preserve">Виктор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Исследовать протокол TCP и алгоритм управления очередью RED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Рассмотреть пример с дисциплиной RED.</w:t>
      </w:r>
    </w:p>
    <w:p>
      <w:pPr>
        <w:numPr>
          <w:ilvl w:val="0"/>
          <w:numId w:val="1001"/>
        </w:numPr>
        <w:pStyle w:val="Compact"/>
      </w:pPr>
      <w:r>
        <w:t xml:space="preserve">Изменить в модели на узле s1 тип протокола TCP с Reno на NewReno, затем на Vegas. Сравнить и пояснить результаты.</w:t>
      </w:r>
    </w:p>
    <w:p>
      <w:pPr>
        <w:numPr>
          <w:ilvl w:val="0"/>
          <w:numId w:val="1001"/>
        </w:numPr>
        <w:pStyle w:val="Compact"/>
      </w:pPr>
      <w:r>
        <w:t xml:space="preserve">Внести изменения при отображении окон с графиками (изменить цвет фона, цвет траекторий, подписи к осям, подпись траектории в легенде).</w:t>
      </w:r>
    </w:p>
    <w:bookmarkEnd w:id="21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пример-с-дисциплиной-red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Пример с дисциплиной RED.</w:t>
      </w:r>
    </w:p>
    <w:p>
      <w:pPr>
        <w:pStyle w:val="FirstParagraph"/>
      </w:pPr>
      <w:r>
        <w:t xml:space="preserve">Постановка задачи. Описание моделируемой сети:</w:t>
      </w:r>
      <w:r>
        <w:t xml:space="preserve"> </w:t>
      </w:r>
      <w:r>
        <w:t xml:space="preserve">– сеть состоит из 6 узлов;</w:t>
      </w:r>
      <w:r>
        <w:t xml:space="preserve"> </w:t>
      </w:r>
      <w:r>
        <w:t xml:space="preserve">– между всеми узлами установлено дуплексное соединение с различными пропускной способностью и задержкой 10 мс;</w:t>
      </w:r>
      <w:r>
        <w:t xml:space="preserve"> </w:t>
      </w:r>
      <w:r>
        <w:t xml:space="preserve">– узел r1 использует очередь с дисциплиной RED для накопления пакетов, максимальный размер которой составляет 25;</w:t>
      </w:r>
      <w:r>
        <w:t xml:space="preserve"> </w:t>
      </w:r>
      <w:r>
        <w:t xml:space="preserve">– TCP-источники на узлах s1 и s2 подключаются к TCP-приёмнику на узле s3;</w:t>
      </w:r>
      <w:r>
        <w:t xml:space="preserve"> </w:t>
      </w:r>
      <w:r>
        <w:t xml:space="preserve">– генераторы трафика FTP прикреплены к TCP-агентам.</w:t>
      </w:r>
    </w:p>
    <w:p>
      <w:pPr>
        <w:pStyle w:val="BodyText"/>
      </w:pPr>
      <w:r>
        <w:t xml:space="preserve">Первая часть скрипта модели с дисциплиной RED. (рис. 1)</w:t>
      </w:r>
    </w:p>
    <w:p>
      <w:pPr>
        <w:pStyle w:val="CaptionedFigure"/>
      </w:pPr>
      <w:bookmarkStart w:id="25" w:name="fig:001"/>
      <w:r>
        <w:drawing>
          <wp:inline>
            <wp:extent cx="5334000" cy="5334000"/>
            <wp:effectExtent b="0" l="0" r="0" t="0"/>
            <wp:docPr descr="Рис. 1: Скрипт модели с дисциплиной RE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Скрипт модели с дисциплиной RED</w:t>
      </w:r>
    </w:p>
    <w:p>
      <w:pPr>
        <w:pStyle w:val="BodyText"/>
      </w:pPr>
      <w:r>
        <w:t xml:space="preserve">Вторая часть скрипта модели с дисциплиной RED. (рис. 2)</w:t>
      </w:r>
    </w:p>
    <w:p>
      <w:pPr>
        <w:pStyle w:val="CaptionedFigure"/>
      </w:pPr>
      <w:bookmarkStart w:id="29" w:name="fig:002"/>
      <w:r>
        <w:drawing>
          <wp:inline>
            <wp:extent cx="5334000" cy="3686735"/>
            <wp:effectExtent b="0" l="0" r="0" t="0"/>
            <wp:docPr descr="Рис. 2: Скрипт модели с дисциплиной RED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Скрипт модели с дисциплиной RED</w:t>
      </w:r>
    </w:p>
    <w:p>
      <w:pPr>
        <w:pStyle w:val="BodyText"/>
      </w:pPr>
      <w:r>
        <w:t xml:space="preserve">График динамики размера окна TCP(сверху) и график динамики длины очереди и среденей длины очереди(снизу) при типе протокола TCP Reno на узле s1. (рис. 3).</w:t>
      </w:r>
    </w:p>
    <w:p>
      <w:pPr>
        <w:pStyle w:val="CaptionedFigure"/>
      </w:pPr>
      <w:bookmarkStart w:id="33" w:name="fig:003"/>
      <w:r>
        <w:drawing>
          <wp:inline>
            <wp:extent cx="5334000" cy="4292632"/>
            <wp:effectExtent b="0" l="0" r="0" t="0"/>
            <wp:docPr descr="Рис. 3: График динамики размера окна TCP(сверху) и график динамики длины очереди и среденей длины очереди(снизу) при типе протокола TCP Reno на узле s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График динамики размера окна TCP(сверху) и график динамики длины очереди и среденей длины очереди(снизу) при типе протокола TCP Reno на узле s1</w:t>
      </w:r>
    </w:p>
    <w:bookmarkEnd w:id="34"/>
    <w:bookmarkStart w:id="51" w:name="X5b7d523f82769e406563d0b6d56b68626328df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Изменения в модели на узле s1 типа протокола TCP с Reno на NewReno, затем на Vegas.</w:t>
      </w:r>
    </w:p>
    <w:p>
      <w:pPr>
        <w:pStyle w:val="FirstParagraph"/>
      </w:pPr>
      <w:r>
        <w:t xml:space="preserve">Скрипт изменений на узле s1 типа протокола TCP с Reno на Newreno. (рис. 4).</w:t>
      </w:r>
    </w:p>
    <w:p>
      <w:pPr>
        <w:pStyle w:val="CaptionedFigure"/>
      </w:pPr>
      <w:bookmarkStart w:id="38" w:name="fig:004"/>
      <w:r>
        <w:drawing>
          <wp:inline>
            <wp:extent cx="4751043" cy="882427"/>
            <wp:effectExtent b="0" l="0" r="0" t="0"/>
            <wp:docPr descr="Рис. 4: Скрипт изменений на узле s1 типа протокола TCP с Reno на Newreno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43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Скрипт изменений на узле s1 типа протокола TCP с Reno на Newreno</w:t>
      </w:r>
    </w:p>
    <w:p>
      <w:pPr>
        <w:pStyle w:val="BodyText"/>
      </w:pPr>
      <w:r>
        <w:t xml:space="preserve">График динамики размера окна TCP(сверху) и график динамики длины очереди и среденей длины очереди(снизу) при типе протокола TCP NewReno на узле s1. (рис. 5).</w:t>
      </w:r>
    </w:p>
    <w:p>
      <w:pPr>
        <w:pStyle w:val="CaptionedFigure"/>
      </w:pPr>
      <w:bookmarkStart w:id="42" w:name="fig:005"/>
      <w:r>
        <w:drawing>
          <wp:inline>
            <wp:extent cx="5334000" cy="4053160"/>
            <wp:effectExtent b="0" l="0" r="0" t="0"/>
            <wp:docPr descr="Рис. 5: График динамики размера окна TCP(сверху) и график динамики длины очереди и среденей длины очереди(снизу) при типе протокола TCP NewReno на узле s1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График динамики размера окна TCP(сверху) и график динамики длины очереди и среденей длины очереди(снизу) при типе протокола TCP NewReno на узле s1</w:t>
      </w:r>
    </w:p>
    <w:p>
      <w:pPr>
        <w:pStyle w:val="BodyText"/>
      </w:pPr>
      <w:r>
        <w:t xml:space="preserve">TCP NewReno:</w:t>
      </w:r>
      <w:r>
        <w:t xml:space="preserve"> </w:t>
      </w:r>
      <w:r>
        <w:t xml:space="preserve">Улучшенная версия Reno, устраняющая его недостатки:</w:t>
      </w:r>
      <w:r>
        <w:br/>
      </w:r>
      <w:r>
        <w:t xml:space="preserve">- Улучшенный Fast Recovery. TCP NewReno остается в режиме восстановления после первой потери пакета и корректно обрабатывает несколько потерянных пакетов за один цикл передачи.</w:t>
      </w:r>
      <w:r>
        <w:br/>
      </w:r>
      <w:r>
        <w:t xml:space="preserve">- Более точный механизм обнаружения потерь и адаптации скорости.</w:t>
      </w:r>
    </w:p>
    <w:p>
      <w:pPr>
        <w:pStyle w:val="BodyText"/>
      </w:pPr>
      <w:r>
        <w:t xml:space="preserve">Скрипт изменений на узле s1 типа протокола TCP с Reno на Vegas. (рис. 6).</w:t>
      </w:r>
    </w:p>
    <w:p>
      <w:pPr>
        <w:pStyle w:val="CaptionedFigure"/>
      </w:pPr>
      <w:bookmarkStart w:id="46" w:name="fig:006"/>
      <w:r>
        <w:drawing>
          <wp:inline>
            <wp:extent cx="4297040" cy="1106232"/>
            <wp:effectExtent b="0" l="0" r="0" t="0"/>
            <wp:docPr descr="Рис. 6: Скрипт изменений на узле s1 типа протокола TCP с Reno на Vegas" title="" id="44" name="Picture"/>
            <a:graphic>
              <a:graphicData uri="http://schemas.openxmlformats.org/drawingml/2006/picture">
                <pic:pic>
                  <pic:nvPicPr>
                    <pic:cNvPr descr="image/5_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0" cy="110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Скрипт изменений на узле s1 типа протокола TCP с Reno на Vegas</w:t>
      </w:r>
    </w:p>
    <w:p>
      <w:pPr>
        <w:pStyle w:val="BodyText"/>
      </w:pPr>
      <w:r>
        <w:t xml:space="preserve">График динамики размера окна TCP(сверху) и график динамики длины очереди и среденей длины очереди(снизу) при типе протокола TCP Vegas на узле s1. (рис. 7).</w:t>
      </w:r>
    </w:p>
    <w:p>
      <w:pPr>
        <w:pStyle w:val="CaptionedFigure"/>
      </w:pPr>
      <w:bookmarkStart w:id="50" w:name="fig:007"/>
      <w:r>
        <w:drawing>
          <wp:inline>
            <wp:extent cx="5334000" cy="4293744"/>
            <wp:effectExtent b="0" l="0" r="0" t="0"/>
            <wp:docPr descr="Рис. 7: График динамики размера окна TCP(сверху) и график динамики длины очереди и среденей длины очереди(снизу) при типе протокола TCP Vegas на узле s1" title="" id="48" name="Picture"/>
            <a:graphic>
              <a:graphicData uri="http://schemas.openxmlformats.org/drawingml/2006/picture">
                <pic:pic>
                  <pic:nvPicPr>
                    <pic:cNvPr descr="image/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График динамики размера окна TCP(сверху) и график динамики длины очереди и среденей длины очереди(снизу) при типе протокола TCP Vegas на узле s1</w:t>
      </w:r>
    </w:p>
    <w:p>
      <w:pPr>
        <w:pStyle w:val="BodyText"/>
      </w:pPr>
      <w:r>
        <w:t xml:space="preserve">TCP Vegas:</w:t>
      </w:r>
      <w:r>
        <w:t xml:space="preserve"> </w:t>
      </w:r>
      <w:r>
        <w:t xml:space="preserve">TCP Vegas использует другой подход:</w:t>
      </w:r>
      <w:r>
        <w:br/>
      </w:r>
      <w:r>
        <w:t xml:space="preserve">- Оценивает задержку пакетов вместо того, чтобы просто реагировать на потери.</w:t>
      </w:r>
      <w:r>
        <w:br/>
      </w:r>
      <w:r>
        <w:t xml:space="preserve">- Контролирует перегрузку до ее возникновения, измеряя разницу между ожидаемой и реальной скоростью передачи.</w:t>
      </w:r>
      <w:r>
        <w:br/>
      </w:r>
      <w:r>
        <w:t xml:space="preserve">- Более гладкая регулировка CWND, без резких изменений, как в Reno/NewReno.</w:t>
      </w:r>
    </w:p>
    <w:bookmarkEnd w:id="51"/>
    <w:bookmarkStart w:id="64" w:name="X174b786104f032aee452ffe39cc4e67274acc9f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Изменения при отображении окон с графиками (изменить цвет фона, цвет траекторий, подписи к осям, подпись траектории в легенде).</w:t>
      </w:r>
    </w:p>
    <w:p>
      <w:pPr>
        <w:pStyle w:val="FirstParagraph"/>
      </w:pPr>
      <w:r>
        <w:t xml:space="preserve">Изменение процедуры finish. (рис. 8).</w:t>
      </w:r>
    </w:p>
    <w:p>
      <w:pPr>
        <w:pStyle w:val="CaptionedFigure"/>
      </w:pPr>
      <w:bookmarkStart w:id="55" w:name="fig:008"/>
      <w:r>
        <w:drawing>
          <wp:inline>
            <wp:extent cx="5334000" cy="3631307"/>
            <wp:effectExtent b="0" l="0" r="0" t="0"/>
            <wp:docPr descr="Рис. 8: Изменение процедуры finish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Изменение процедуры finish</w:t>
      </w:r>
    </w:p>
    <w:p>
      <w:pPr>
        <w:pStyle w:val="BodyText"/>
      </w:pPr>
      <w:r>
        <w:t xml:space="preserve">Изменение мониторинга размера окна TCP. (рис. 9).</w:t>
      </w:r>
    </w:p>
    <w:p>
      <w:pPr>
        <w:pStyle w:val="CaptionedFigure"/>
      </w:pPr>
      <w:bookmarkStart w:id="59" w:name="fig:009"/>
      <w:r>
        <w:drawing>
          <wp:inline>
            <wp:extent cx="4290646" cy="824878"/>
            <wp:effectExtent b="0" l="0" r="0" t="0"/>
            <wp:docPr descr="Рис. 9: Изменение мониторинга размера окна TCP" title="" id="57" name="Picture"/>
            <a:graphic>
              <a:graphicData uri="http://schemas.openxmlformats.org/drawingml/2006/picture">
                <pic:pic>
                  <pic:nvPicPr>
                    <pic:cNvPr descr="image/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46" cy="82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Изменение мониторинга размера окна TCP</w:t>
      </w:r>
    </w:p>
    <w:p>
      <w:pPr>
        <w:pStyle w:val="BodyText"/>
      </w:pPr>
      <w:r>
        <w:t xml:space="preserve">Результаты изменений отображения окон с графиками. (рис. 10).</w:t>
      </w:r>
    </w:p>
    <w:p>
      <w:pPr>
        <w:pStyle w:val="CaptionedFigure"/>
      </w:pPr>
      <w:bookmarkStart w:id="63" w:name="fig:010"/>
      <w:r>
        <w:drawing>
          <wp:inline>
            <wp:extent cx="5334000" cy="4219654"/>
            <wp:effectExtent b="0" l="0" r="0" t="0"/>
            <wp:docPr descr="Рис. 10: Результаты изменений отображения окон с графиками" title="" id="61" name="Picture"/>
            <a:graphic>
              <a:graphicData uri="http://schemas.openxmlformats.org/drawingml/2006/picture">
                <pic:pic>
                  <pic:nvPicPr>
                    <pic:cNvPr descr="image/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Результаты изменений отображения окон с графиками</w:t>
      </w:r>
    </w:p>
    <w:bookmarkEnd w:id="64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исследовали протокол TCP и алгоритм управления очередью RED.</w:t>
      </w:r>
    </w:p>
    <w:bookmarkEnd w:id="66"/>
    <w:bookmarkStart w:id="69" w:name="список-литературы"/>
    <w:p>
      <w:pPr>
        <w:pStyle w:val="Heading1"/>
      </w:pPr>
      <w:r>
        <w:t xml:space="preserve">Список литературы</w:t>
      </w:r>
    </w:p>
    <w:bookmarkStart w:id="68" w:name="refs"/>
    <w:bookmarkStart w:id="67" w:name="ref-lab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Лабораторная работа 2. Исследование протокола TCP и алгоритма управления очередью RED [Электронный ресурс].</w:t>
      </w:r>
    </w:p>
    <w:bookmarkEnd w:id="67"/>
    <w:bookmarkEnd w:id="68"/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Кадров Виктор Максимович</dc:creator>
  <dc:language>ru-RU</dc:language>
  <cp:keywords/>
  <dcterms:created xsi:type="dcterms:W3CDTF">2025-04-12T20:12:13Z</dcterms:created>
  <dcterms:modified xsi:type="dcterms:W3CDTF">2025-04-12T20:12:13Z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Исследование протокола TCP и алгоритма управления очередью RED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