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23.png" ContentType="image/png"/>
  <Override PartName="/word/media/rId100.png" ContentType="image/png"/>
  <Override PartName="/word/media/rId104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TCP/AQM</w:t>
      </w:r>
    </w:p>
    <w:p>
      <w:pPr>
        <w:pStyle w:val="Author"/>
      </w:pPr>
      <w:r>
        <w:t xml:space="preserve">Кадров</w:t>
      </w:r>
      <w:r>
        <w:t xml:space="preserve"> </w:t>
      </w:r>
      <w:r>
        <w:t xml:space="preserve">Виктор</w:t>
      </w:r>
      <w:r>
        <w:t xml:space="preserve"> </w:t>
      </w:r>
      <w:r>
        <w:t xml:space="preserve">Максимович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Исследовать модель TCP/AQM с помощью программы</w:t>
      </w:r>
      <w:r>
        <w:t xml:space="preserve"> </w:t>
      </w:r>
      <w:r>
        <w:rPr>
          <w:iCs/>
          <w:i/>
        </w:rPr>
        <w:t xml:space="preserve">xcos</w:t>
      </w:r>
      <w:r>
        <w:t xml:space="preserve"> </w:t>
      </w:r>
      <w:r>
        <w:t xml:space="preserve">и OpenModelica</w:t>
      </w:r>
      <w:r>
        <w:t xml:space="preserve">[1]</w:t>
      </w:r>
      <w:r>
        <w:t xml:space="preserve">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реализовать модель TCP/AQM в xcos</w:t>
      </w:r>
      <w:r>
        <w:t xml:space="preserve">[2]</w:t>
      </w:r>
      <w:r>
        <w:t xml:space="preserve">;</w:t>
      </w:r>
    </w:p>
    <w:p>
      <w:pPr>
        <w:numPr>
          <w:ilvl w:val="0"/>
          <w:numId w:val="1001"/>
        </w:numPr>
        <w:pStyle w:val="Compact"/>
      </w:pPr>
      <w:r>
        <w:t xml:space="preserve">реализовать модель TCP/AQM в OpenModelica;</w:t>
      </w:r>
    </w:p>
    <w:p>
      <w:pPr>
        <w:numPr>
          <w:ilvl w:val="0"/>
          <w:numId w:val="1001"/>
        </w:numPr>
        <w:pStyle w:val="Compact"/>
      </w:pPr>
      <w:r>
        <w:t xml:space="preserve">построить графики динамики изменения размера TCP окна и размера очереди;</w:t>
      </w:r>
    </w:p>
    <w:p>
      <w:pPr>
        <w:numPr>
          <w:ilvl w:val="0"/>
          <w:numId w:val="1001"/>
        </w:numPr>
        <w:pStyle w:val="Compact"/>
      </w:pPr>
      <w:r>
        <w:t xml:space="preserve">построить фазовые портреты.</w:t>
      </w:r>
    </w:p>
    <w:bookmarkEnd w:id="21"/>
    <w:bookmarkStart w:id="10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2" w:name="теоретическая-часть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Теоретическая часть</w:t>
      </w:r>
    </w:p>
    <w:p>
      <w:pPr>
        <w:pStyle w:val="FirstParagraph"/>
      </w:pPr>
      <w:r>
        <w:t xml:space="preserve">Рассмотрим упрощённую модель поведения TCP-подобного трафика с регулируемой некоторым AQM алгоритмом динамической интенсивностью потока.</w:t>
      </w:r>
    </w:p>
    <w:p>
      <w:pPr>
        <w:pStyle w:val="BodyText"/>
      </w:pPr>
      <m:oMath>
        <m:r>
          <m:t>W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– средний размер TCP-окна (в пакетах, функция положительна),</w:t>
      </w:r>
    </w:p>
    <w:p>
      <w:pPr>
        <w:pStyle w:val="BodyText"/>
      </w:pPr>
      <m:oMath>
        <m:r>
          <m:t>Q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– средний размер очереди (в пакетах, функция положительна),</w:t>
      </w:r>
    </w:p>
    <w:p>
      <w:pPr>
        <w:pStyle w:val="BodyText"/>
      </w:pPr>
      <m:oMath>
        <m:r>
          <m:t>R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– время двойного оборота (Round Trip Time, сек.)</w:t>
      </w:r>
    </w:p>
    <w:p>
      <w:pPr>
        <w:pStyle w:val="BodyText"/>
      </w:pPr>
      <m:oMath>
        <m:r>
          <m:t>C</m:t>
        </m:r>
      </m:oMath>
      <w:r>
        <w:t xml:space="preserve"> </w:t>
      </w:r>
      <w:r>
        <w:t xml:space="preserve">– скорость обработки пакетов в очереди (пакетов в секунду)</w:t>
      </w:r>
    </w:p>
    <w:p>
      <w:pPr>
        <w:pStyle w:val="BodyText"/>
      </w:pPr>
      <m:oMath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– число TCP-сессий</w:t>
      </w:r>
    </w:p>
    <w:p>
      <w:pPr>
        <w:pStyle w:val="BodyText"/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  <m:r>
              <m:rPr>
                <m:sty m:val="p"/>
              </m:rPr>
              <m:t>−</m:t>
            </m:r>
            <m:r>
              <m:t>R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</m:e>
            </m:d>
          </m:e>
        </m:d>
      </m:oMath>
      <w:r>
        <w:t xml:space="preserve"> </w:t>
      </w:r>
      <w:r>
        <w:t xml:space="preserve">– вероятностная функция сброса (отметки на сброс) пакета, значения которой лежат на интервале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.</w:t>
      </w:r>
    </w:p>
    <w:p>
      <w:pPr>
        <w:pStyle w:val="BodyText"/>
      </w:pPr>
      <w:r>
        <w:t xml:space="preserve">Примем</w:t>
      </w:r>
      <w:r>
        <w:t xml:space="preserve"> </w:t>
      </w:r>
      <m:oMath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  <m:r>
          <m:rPr>
            <m:sty m:val="p"/>
          </m:rPr>
          <m:t>≡</m:t>
        </m:r>
        <m:r>
          <m:t>N</m:t>
        </m:r>
      </m:oMath>
      <w:r>
        <w:t xml:space="preserve">,</w:t>
      </w:r>
      <w:r>
        <w:t xml:space="preserve"> </w:t>
      </w:r>
      <m:oMath>
        <m:r>
          <m:t>R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  <m:r>
          <m:rPr>
            <m:sty m:val="p"/>
          </m:rPr>
          <m:t>≡</m:t>
        </m:r>
        <m:r>
          <m:t>R</m:t>
        </m:r>
      </m:oMath>
      <w:r>
        <w:t xml:space="preserve">, т. е. указанные величины положим постоянными, не изменяющимися во времени. Также положим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  <m:r>
              <m:rPr>
                <m:sty m:val="p"/>
              </m:rPr>
              <m:t>−</m:t>
            </m:r>
            <m:r>
              <m:t>R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</m:e>
            </m:d>
          </m:e>
        </m:d>
        <m:r>
          <m:rPr>
            <m:sty m:val="p"/>
          </m:rPr>
          <m:t>=</m:t>
        </m:r>
        <m:r>
          <m:t>K</m:t>
        </m:r>
        <m:r>
          <m:t>Q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, т.е. функция сброса пакетов пропорциональна длине очереди</w:t>
      </w:r>
      <w:r>
        <w:t xml:space="preserve"> </w:t>
      </w:r>
      <m:oMath>
        <m:r>
          <m:t>Q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.</w:t>
      </w:r>
    </w:p>
    <w:p>
      <w:pPr>
        <w:pStyle w:val="BodyText"/>
      </w:pPr>
      <w:r>
        <w:t xml:space="preserve">Тогда получим систему: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̇"/>
            </m:accPr>
            <m:e>
              <m:r>
                <m:t>W</m:t>
              </m:r>
            </m:e>
          </m:acc>
          <m:d>
            <m:dPr>
              <m:begChr m:val="("/>
              <m:endChr m:val=")"/>
              <m:sepChr m:val=""/>
              <m:grow/>
            </m:dPr>
            <m:e>
              <m:r>
                <m:t>t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R</m:t>
              </m:r>
            </m:den>
          </m:f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W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  <m:r>
                <m:t>W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  <m:r>
                    <m:rPr>
                      <m:sty m:val="p"/>
                    </m:rPr>
                    <m:t>−</m:t>
                  </m:r>
                  <m:r>
                    <m:t>R</m:t>
                  </m:r>
                </m:e>
              </m:d>
            </m:num>
            <m:den>
              <m:r>
                <m:t>2</m:t>
              </m:r>
              <m:r>
                <m:t>R</m:t>
              </m:r>
            </m:den>
          </m:f>
          <m:r>
            <m:t>K</m:t>
          </m:r>
          <m:r>
            <m:t>Q</m:t>
          </m:r>
          <m:d>
            <m:dPr>
              <m:begChr m:val="("/>
              <m:endChr m:val=")"/>
              <m:sepChr m:val=""/>
              <m:grow/>
            </m:dPr>
            <m:e>
              <m:r>
                <m:t>t</m:t>
              </m:r>
              <m:r>
                <m:rPr>
                  <m:sty m:val="p"/>
                </m:rPr>
                <m:t>−</m:t>
              </m:r>
              <m:r>
                <m:t>R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̇"/>
            </m:accPr>
            <m:e>
              <m:r>
                <m:t>Q</m:t>
              </m:r>
            </m:e>
          </m:acc>
          <m:d>
            <m:dPr>
              <m:begChr m:val="("/>
              <m:endChr m:val=")"/>
              <m:sepChr m:val=""/>
              <m:grow/>
            </m:dPr>
            <m:e>
              <m:r>
                <m:t>t</m:t>
              </m:r>
            </m:e>
          </m:d>
          <m:r>
            <m:rPr>
              <m:sty m:val="p"/>
            </m:rPr>
            <m:t>=</m:t>
          </m:r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N</m:t>
                        </m:r>
                        <m:r>
                          <m:t>W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t</m:t>
                            </m:r>
                          </m:e>
                        </m:d>
                      </m:num>
                      <m:den>
                        <m:r>
                          <m:t>R</m:t>
                        </m:r>
                      </m:den>
                    </m:f>
                    <m:r>
                      <m:rPr>
                        <m:sty m:val="p"/>
                      </m:rPr>
                      <m:t>−</m:t>
                    </m:r>
                    <m:r>
                      <m:t>C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t>Q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&gt;</m:t>
                    </m:r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m:t>max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N</m:t>
                            </m:r>
                            <m:r>
                              <m:t>W</m:t>
                            </m:r>
                            <m:d>
                              <m:dPr>
                                <m:begChr m:val="("/>
                                <m:endChr m:val=")"/>
                                <m:sepChr m:val=""/>
                                <m:grow/>
                              </m:dPr>
                              <m:e>
                                <m:r>
                                  <m:t>t</m:t>
                                </m:r>
                              </m:e>
                            </m:d>
                          </m:num>
                          <m:den>
                            <m:r>
                              <m:t>R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C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0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t>Q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bookmarkEnd w:id="22"/>
    <w:bookmarkStart w:id="79" w:name="реализация-модели-в-xcos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Реализация модели в xcos</w:t>
      </w:r>
    </w:p>
    <w:p>
      <w:pPr>
        <w:pStyle w:val="FirstParagraph"/>
      </w:pPr>
      <w:r>
        <w:t xml:space="preserve">В меню Моделирование, Задать переменные окружения зададим значения переменных (рис. 1).</w:t>
      </w:r>
    </w:p>
    <w:p>
      <w:pPr>
        <w:pStyle w:val="CaptionedFigure"/>
      </w:pPr>
      <w:bookmarkStart w:id="26" w:name="fig:001"/>
      <w:r>
        <w:drawing>
          <wp:inline>
            <wp:extent cx="5334000" cy="3559563"/>
            <wp:effectExtent b="0" l="0" r="0" t="0"/>
            <wp:docPr descr="Рис. 1: Ввод переменных окружения" title="" id="24" name="Picture"/>
            <a:graphic>
              <a:graphicData uri="http://schemas.openxmlformats.org/drawingml/2006/picture">
                <pic:pic>
                  <pic:nvPicPr>
                    <pic:cNvPr descr="image/1_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9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Ввод переменных окружения</w:t>
      </w:r>
    </w:p>
    <w:p>
      <w:pPr>
        <w:pStyle w:val="BodyText"/>
      </w:pPr>
      <w:r>
        <w:t xml:space="preserve">Для реализации введем выражение, определяющее</w:t>
      </w:r>
      <w:r>
        <w:t xml:space="preserve"> </w:t>
      </w:r>
      <m:oMath>
        <m:acc>
          <m:accPr>
            <m:chr m:val="̇"/>
          </m:accPr>
          <m:e>
            <m:r>
              <m:t>Q</m:t>
            </m:r>
          </m:e>
        </m:acc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, в блок Expression (рис. 2).</w:t>
      </w:r>
    </w:p>
    <w:p>
      <w:pPr>
        <w:pStyle w:val="CaptionedFigure"/>
      </w:pPr>
      <w:bookmarkStart w:id="30" w:name="fig:002"/>
      <w:r>
        <w:drawing>
          <wp:inline>
            <wp:extent cx="5334000" cy="2515364"/>
            <wp:effectExtent b="0" l="0" r="0" t="0"/>
            <wp:docPr descr="Рис. 2: Изменение параметров блока “Expression”" title="" id="28" name="Picture"/>
            <a:graphic>
              <a:graphicData uri="http://schemas.openxmlformats.org/drawingml/2006/picture">
                <pic:pic>
                  <pic:nvPicPr>
                    <pic:cNvPr descr="image/2_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5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Изменение параметров блока</w:t>
      </w:r>
      <w:r>
        <w:t xml:space="preserve"> </w:t>
      </w:r>
      <w:r>
        <w:t xml:space="preserve">“</w:t>
      </w:r>
      <w:r>
        <w:t xml:space="preserve">Expression</w:t>
      </w:r>
      <w:r>
        <w:t xml:space="preserve">”</w:t>
      </w:r>
    </w:p>
    <w:p>
      <w:pPr>
        <w:pStyle w:val="BodyText"/>
      </w:pPr>
      <w:r>
        <w:t xml:space="preserve">Установим начальные значения в блоках интегрирования(рис. 3, 4).</w:t>
      </w:r>
    </w:p>
    <w:p>
      <w:pPr>
        <w:pStyle w:val="CaptionedFigure"/>
      </w:pPr>
      <w:bookmarkStart w:id="34" w:name="fig:003"/>
      <w:r>
        <w:drawing>
          <wp:inline>
            <wp:extent cx="5334000" cy="3619928"/>
            <wp:effectExtent b="0" l="0" r="0" t="0"/>
            <wp:docPr descr="Рис. 3: Изменение параметров блоков интегрирования" title="" id="32" name="Picture"/>
            <a:graphic>
              <a:graphicData uri="http://schemas.openxmlformats.org/drawingml/2006/picture">
                <pic:pic>
                  <pic:nvPicPr>
                    <pic:cNvPr descr="image/3_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Изменение параметров блоков интегрирования</w:t>
      </w:r>
    </w:p>
    <w:p>
      <w:pPr>
        <w:pStyle w:val="CaptionedFigure"/>
      </w:pPr>
      <w:bookmarkStart w:id="38" w:name="fig:004"/>
      <w:r>
        <w:drawing>
          <wp:inline>
            <wp:extent cx="5334000" cy="3657252"/>
            <wp:effectExtent b="0" l="0" r="0" t="0"/>
            <wp:docPr descr="Рис. 4: Изменение параметров блоков интегрирования" title="" id="36" name="Picture"/>
            <a:graphic>
              <a:graphicData uri="http://schemas.openxmlformats.org/drawingml/2006/picture">
                <pic:pic>
                  <pic:nvPicPr>
                    <pic:cNvPr descr="image/4_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7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Изменение параметров блоков интегрирования</w:t>
      </w:r>
    </w:p>
    <w:p>
      <w:pPr>
        <w:pStyle w:val="BodyText"/>
      </w:pPr>
      <w:r>
        <w:t xml:space="preserve">Установим значение задержки блоков</w:t>
      </w:r>
      <w:r>
        <w:t xml:space="preserve"> </w:t>
      </w:r>
      <w:r>
        <w:t xml:space="preserve">“</w:t>
      </w:r>
      <w:r>
        <w:t xml:space="preserve">Continuous fix delay</w:t>
      </w:r>
      <w:r>
        <w:t xml:space="preserve">”</w:t>
      </w:r>
      <w:r>
        <w:t xml:space="preserve"> </w:t>
      </w:r>
      <w:r>
        <w:t xml:space="preserve">(рис. 5).</w:t>
      </w:r>
    </w:p>
    <w:p>
      <w:pPr>
        <w:pStyle w:val="CaptionedFigure"/>
      </w:pPr>
      <w:bookmarkStart w:id="42" w:name="fig:005"/>
      <w:r>
        <w:drawing>
          <wp:inline>
            <wp:extent cx="4348195" cy="2992581"/>
            <wp:effectExtent b="0" l="0" r="0" t="0"/>
            <wp:docPr descr="Рис. 5: Изменение параметров блока “Continuous fix delay”" title="" id="40" name="Picture"/>
            <a:graphic>
              <a:graphicData uri="http://schemas.openxmlformats.org/drawingml/2006/picture">
                <pic:pic>
                  <pic:nvPicPr>
                    <pic:cNvPr descr="image/5_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195" cy="2992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Изменение параметров блока</w:t>
      </w:r>
      <w:r>
        <w:t xml:space="preserve"> </w:t>
      </w:r>
      <w:r>
        <w:t xml:space="preserve">“</w:t>
      </w:r>
      <w:r>
        <w:t xml:space="preserve">Continuous fix delay</w:t>
      </w:r>
      <w:r>
        <w:t xml:space="preserve">”</w:t>
      </w:r>
    </w:p>
    <w:p>
      <w:pPr>
        <w:pStyle w:val="BodyText"/>
      </w:pPr>
      <w:r>
        <w:t xml:space="preserve">Укажем параметры моделирования, зададим конечное время интегрирования. (рис. 6).</w:t>
      </w:r>
    </w:p>
    <w:p>
      <w:pPr>
        <w:pStyle w:val="CaptionedFigure"/>
      </w:pPr>
      <w:bookmarkStart w:id="46" w:name="fig:006"/>
      <w:r>
        <w:drawing>
          <wp:inline>
            <wp:extent cx="5334000" cy="2837234"/>
            <wp:effectExtent b="0" l="0" r="0" t="0"/>
            <wp:docPr descr="Рис. 6: Параметры моделирования" title="" id="44" name="Picture"/>
            <a:graphic>
              <a:graphicData uri="http://schemas.openxmlformats.org/drawingml/2006/picture">
                <pic:pic>
                  <pic:nvPicPr>
                    <pic:cNvPr descr="image/6_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7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Параметры моделирования</w:t>
      </w:r>
    </w:p>
    <w:p>
      <w:pPr>
        <w:pStyle w:val="BodyText"/>
      </w:pPr>
      <w:r>
        <w:t xml:space="preserve">Изменим параметры генерирующих устройств, изменим цвет графиков, масштаб. Так же у блока CSCOPE ставим параметр</w:t>
      </w:r>
      <w:r>
        <w:t xml:space="preserve"> </w:t>
      </w:r>
      <w:r>
        <w:rPr>
          <w:rStyle w:val="VerbatimChar"/>
        </w:rPr>
        <w:t xml:space="preserve">refresh period</w:t>
      </w:r>
      <w:r>
        <w:t xml:space="preserve"> </w:t>
      </w:r>
      <w:r>
        <w:t xml:space="preserve">= 100(рис. 7, 8).</w:t>
      </w:r>
    </w:p>
    <w:p>
      <w:pPr>
        <w:pStyle w:val="CaptionedFigure"/>
      </w:pPr>
      <w:bookmarkStart w:id="50" w:name="fig:007"/>
      <w:r>
        <w:drawing>
          <wp:inline>
            <wp:extent cx="5334000" cy="5001963"/>
            <wp:effectExtent b="0" l="0" r="0" t="0"/>
            <wp:docPr descr="Рис. 7: Параметры блока “CSCOPE”" title="" id="48" name="Picture"/>
            <a:graphic>
              <a:graphicData uri="http://schemas.openxmlformats.org/drawingml/2006/picture">
                <pic:pic>
                  <pic:nvPicPr>
                    <pic:cNvPr descr="image/7_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1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Параметры блока</w:t>
      </w:r>
      <w:r>
        <w:t xml:space="preserve"> </w:t>
      </w:r>
      <w:r>
        <w:t xml:space="preserve">“</w:t>
      </w:r>
      <w:r>
        <w:t xml:space="preserve">CSCOPE</w:t>
      </w:r>
      <w:r>
        <w:t xml:space="preserve">”</w:t>
      </w:r>
    </w:p>
    <w:p>
      <w:pPr>
        <w:pStyle w:val="CaptionedFigure"/>
      </w:pPr>
      <w:bookmarkStart w:id="54" w:name="fig:008"/>
      <w:r>
        <w:drawing>
          <wp:inline>
            <wp:extent cx="5334000" cy="5421442"/>
            <wp:effectExtent b="0" l="0" r="0" t="0"/>
            <wp:docPr descr="Рис. 8: Параметры блока “CSCOPXY”" title="" id="52" name="Picture"/>
            <a:graphic>
              <a:graphicData uri="http://schemas.openxmlformats.org/drawingml/2006/picture">
                <pic:pic>
                  <pic:nvPicPr>
                    <pic:cNvPr descr="image/8_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1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Параметры блока</w:t>
      </w:r>
      <w:r>
        <w:t xml:space="preserve"> </w:t>
      </w:r>
      <w:r>
        <w:t xml:space="preserve">“</w:t>
      </w:r>
      <w:r>
        <w:t xml:space="preserve">CSCOPXY</w:t>
      </w:r>
      <w:r>
        <w:t xml:space="preserve">”</w:t>
      </w:r>
    </w:p>
    <w:p>
      <w:pPr>
        <w:pStyle w:val="BodyText"/>
      </w:pPr>
      <w:r>
        <w:t xml:space="preserve">Настроим связи между блоками и получим готовую модель TCP/AQM (рис. 9).</w:t>
      </w:r>
    </w:p>
    <w:p>
      <w:pPr>
        <w:pStyle w:val="CaptionedFigure"/>
      </w:pPr>
      <w:bookmarkStart w:id="58" w:name="fig:009"/>
      <w:r>
        <w:drawing>
          <wp:inline>
            <wp:extent cx="5334000" cy="3324286"/>
            <wp:effectExtent b="0" l="0" r="0" t="0"/>
            <wp:docPr descr="Рис. 9: Модель TCP/AQM в xcos" title="" id="56" name="Picture"/>
            <a:graphic>
              <a:graphicData uri="http://schemas.openxmlformats.org/drawingml/2006/picture">
                <pic:pic>
                  <pic:nvPicPr>
                    <pic:cNvPr descr="image/9_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4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Модель TCP/AQM в xcos</w:t>
      </w:r>
    </w:p>
    <w:p>
      <w:pPr>
        <w:pStyle w:val="BodyText"/>
      </w:pPr>
      <w:r>
        <w:t xml:space="preserve">Запустим моделирование и получим следующие графики(рис. 10, 11). Фазовый портрет показывает наличие автоколебаний параметров системы — фазовая траектория осциллирует вокруг своей стационарной точки.</w:t>
      </w:r>
    </w:p>
    <w:p>
      <w:pPr>
        <w:pStyle w:val="CaptionedFigure"/>
      </w:pPr>
      <w:bookmarkStart w:id="62" w:name="fig:010"/>
      <w:r>
        <w:drawing>
          <wp:inline>
            <wp:extent cx="5334000" cy="3940277"/>
            <wp:effectExtent b="0" l="0" r="0" t="0"/>
            <wp:docPr descr="Рис. 10: Динамика изменения размера TCP окна W(t)(красная) и размера очереди Q(t)(черная) в xcos. C = 1" title="" id="60" name="Picture"/>
            <a:graphic>
              <a:graphicData uri="http://schemas.openxmlformats.org/drawingml/2006/picture">
                <pic:pic>
                  <pic:nvPicPr>
                    <pic:cNvPr descr="image/10_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0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Динамика изменения размера TCP окна W(t)(красная) и размера очереди Q(t)(черная) в xcos. C = 1</w:t>
      </w:r>
    </w:p>
    <w:p>
      <w:pPr>
        <w:pStyle w:val="CaptionedFigure"/>
      </w:pPr>
      <w:bookmarkStart w:id="66" w:name="fig:011"/>
      <w:r>
        <w:drawing>
          <wp:inline>
            <wp:extent cx="5334000" cy="3963397"/>
            <wp:effectExtent b="0" l="0" r="0" t="0"/>
            <wp:docPr descr="Рис. 11: Фазовый портрет (W, Q) в xcos. C = 1" title="" id="64" name="Picture"/>
            <a:graphic>
              <a:graphicData uri="http://schemas.openxmlformats.org/drawingml/2006/picture">
                <pic:pic>
                  <pic:nvPicPr>
                    <pic:cNvPr descr="image/11_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3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Фазовый портрет (W, Q) в xcos. C = 1</w:t>
      </w:r>
    </w:p>
    <w:p>
      <w:pPr>
        <w:pStyle w:val="BodyText"/>
      </w:pPr>
      <w:r>
        <w:t xml:space="preserve">Изменим перменные окружения. Параметр С = 0.9. (рис. 12).</w:t>
      </w:r>
    </w:p>
    <w:p>
      <w:pPr>
        <w:pStyle w:val="CaptionedFigure"/>
      </w:pPr>
      <w:bookmarkStart w:id="70" w:name="fig:012"/>
      <w:r>
        <w:drawing>
          <wp:inline>
            <wp:extent cx="5334000" cy="3552422"/>
            <wp:effectExtent b="0" l="0" r="0" t="0"/>
            <wp:docPr descr="Рис. 12: Измененные переменные окружения" title="" id="68" name="Picture"/>
            <a:graphic>
              <a:graphicData uri="http://schemas.openxmlformats.org/drawingml/2006/picture">
                <pic:pic>
                  <pic:nvPicPr>
                    <pic:cNvPr descr="image/12_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Измененные переменные окружения</w:t>
      </w:r>
    </w:p>
    <w:p>
      <w:pPr>
        <w:pStyle w:val="BodyText"/>
      </w:pPr>
      <w:r>
        <w:t xml:space="preserve">Запустим моделирование и получим следующие графики при С = 0.9(рис. 13, 14).</w:t>
      </w:r>
    </w:p>
    <w:p>
      <w:pPr>
        <w:pStyle w:val="CaptionedFigure"/>
      </w:pPr>
      <w:bookmarkStart w:id="74" w:name="fig:013"/>
      <w:r>
        <w:drawing>
          <wp:inline>
            <wp:extent cx="5334000" cy="4124495"/>
            <wp:effectExtent b="0" l="0" r="0" t="0"/>
            <wp:docPr descr="Рис. 13: Динамика изменения размера TCP окна W(t)(красная) и размера очереди Q(t)(черная) в xcos. C = 0.9" title="" id="72" name="Picture"/>
            <a:graphic>
              <a:graphicData uri="http://schemas.openxmlformats.org/drawingml/2006/picture">
                <pic:pic>
                  <pic:nvPicPr>
                    <pic:cNvPr descr="image/13_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Динамика изменения размера TCP окна W(t)(красная) и размера очереди Q(t)(черная) в xcos. C = 0.9</w:t>
      </w:r>
    </w:p>
    <w:p>
      <w:pPr>
        <w:pStyle w:val="CaptionedFigure"/>
      </w:pPr>
      <w:bookmarkStart w:id="78" w:name="fig:014"/>
      <w:r>
        <w:drawing>
          <wp:inline>
            <wp:extent cx="5334000" cy="4152585"/>
            <wp:effectExtent b="0" l="0" r="0" t="0"/>
            <wp:docPr descr="Рис. 14: Фазовый портрет (W, Q) в xcos. C = 0.9" title="" id="76" name="Picture"/>
            <a:graphic>
              <a:graphicData uri="http://schemas.openxmlformats.org/drawingml/2006/picture">
                <pic:pic>
                  <pic:nvPicPr>
                    <pic:cNvPr descr="image/14_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Фазовый портрет (W, Q) в xcos. C = 0.9</w:t>
      </w:r>
    </w:p>
    <w:bookmarkEnd w:id="79"/>
    <w:bookmarkStart w:id="108" w:name="реализация-модели-в-openmodelica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Реализация модели в OpenModelica</w:t>
      </w:r>
    </w:p>
    <w:p>
      <w:pPr>
        <w:pStyle w:val="FirstParagraph"/>
      </w:pPr>
      <w:r>
        <w:t xml:space="preserve">Перейдем к реализации модели в OpenModelica. Зададим параметры, начальные значения и систему дифференциальных уравнений (рис. 15).</w:t>
      </w:r>
    </w:p>
    <w:p>
      <w:pPr>
        <w:pStyle w:val="CaptionedFigure"/>
      </w:pPr>
      <w:bookmarkStart w:id="83" w:name="fig:015"/>
      <w:r>
        <w:drawing>
          <wp:inline>
            <wp:extent cx="5334000" cy="3394363"/>
            <wp:effectExtent b="0" l="0" r="0" t="0"/>
            <wp:docPr descr="Рис. 15: Реализация модели TCP/AQM в OpenModelica" title="" id="81" name="Picture"/>
            <a:graphic>
              <a:graphicData uri="http://schemas.openxmlformats.org/drawingml/2006/picture">
                <pic:pic>
                  <pic:nvPicPr>
                    <pic:cNvPr descr="image/15_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4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15: Реализация модели TCP/AQM в OpenModelica</w:t>
      </w:r>
    </w:p>
    <w:p>
      <w:pPr>
        <w:pStyle w:val="BodyText"/>
      </w:pPr>
      <w:r>
        <w:t xml:space="preserve">Установим параметры симуляции. (рис. 16).</w:t>
      </w:r>
    </w:p>
    <w:p>
      <w:pPr>
        <w:pStyle w:val="CaptionedFigure"/>
      </w:pPr>
      <w:bookmarkStart w:id="87" w:name="fig:016"/>
      <w:r>
        <w:drawing>
          <wp:inline>
            <wp:extent cx="5334000" cy="3933151"/>
            <wp:effectExtent b="0" l="0" r="0" t="0"/>
            <wp:docPr descr="Рис. 16: Параметры симуляции в OpenModelica" title="" id="85" name="Picture"/>
            <a:graphic>
              <a:graphicData uri="http://schemas.openxmlformats.org/drawingml/2006/picture">
                <pic:pic>
                  <pic:nvPicPr>
                    <pic:cNvPr descr="image/16_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3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16: Параметры симуляции в OpenModelica</w:t>
      </w:r>
    </w:p>
    <w:p>
      <w:pPr>
        <w:pStyle w:val="BodyText"/>
      </w:pPr>
      <w:r>
        <w:t xml:space="preserve">Результаты моделирования в OpenModelica при C = 1.</w:t>
      </w:r>
    </w:p>
    <w:p>
      <w:pPr>
        <w:pStyle w:val="BodyText"/>
      </w:pPr>
      <w:r>
        <w:t xml:space="preserve">Запустим моделирование и получим следующие графики в OpenModelica при С = 1.(рис. 17, 18).</w:t>
      </w:r>
    </w:p>
    <w:p>
      <w:pPr>
        <w:pStyle w:val="CaptionedFigure"/>
      </w:pPr>
      <w:bookmarkStart w:id="91" w:name="fig:017"/>
      <w:r>
        <w:drawing>
          <wp:inline>
            <wp:extent cx="5334000" cy="2644867"/>
            <wp:effectExtent b="0" l="0" r="0" t="0"/>
            <wp:docPr descr="Рис. 17: Динамика изменения размера TCP окна W(t)(красная) и размера очереди Q(t)(синия) в OpenModelica. C = 1" title="" id="89" name="Picture"/>
            <a:graphic>
              <a:graphicData uri="http://schemas.openxmlformats.org/drawingml/2006/picture">
                <pic:pic>
                  <pic:nvPicPr>
                    <pic:cNvPr descr="image/17_1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4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17: Динамика изменения размера TCP окна W(t)(красная) и размера очереди Q(t)(синия) в OpenModelica. C = 1</w:t>
      </w:r>
    </w:p>
    <w:p>
      <w:pPr>
        <w:pStyle w:val="CaptionedFigure"/>
      </w:pPr>
      <w:bookmarkStart w:id="95" w:name="fig:018"/>
      <w:r>
        <w:drawing>
          <wp:inline>
            <wp:extent cx="5334000" cy="2658639"/>
            <wp:effectExtent b="0" l="0" r="0" t="0"/>
            <wp:docPr descr="Рис. 18: Фазовый портрет (W, Q) в OpenModelica. C = 1" title="" id="93" name="Picture"/>
            <a:graphic>
              <a:graphicData uri="http://schemas.openxmlformats.org/drawingml/2006/picture">
                <pic:pic>
                  <pic:nvPicPr>
                    <pic:cNvPr descr="image/18_1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8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18: Фазовый портрет (W, Q) в OpenModelica. C = 1</w:t>
      </w:r>
    </w:p>
    <w:p>
      <w:pPr>
        <w:pStyle w:val="BodyText"/>
      </w:pPr>
      <w:r>
        <w:t xml:space="preserve">Изменим параметры в OpenModelica. Параметр С = 0.9.(рис. 19).</w:t>
      </w:r>
    </w:p>
    <w:p>
      <w:pPr>
        <w:pStyle w:val="CaptionedFigure"/>
      </w:pPr>
      <w:bookmarkStart w:id="99" w:name="fig:019"/>
      <w:r>
        <w:drawing>
          <wp:inline>
            <wp:extent cx="5334000" cy="3399983"/>
            <wp:effectExtent b="0" l="0" r="0" t="0"/>
            <wp:docPr descr="Рис. 19: Измененные параметры симуляции в OpenModelica. С = 0.9" title="" id="97" name="Picture"/>
            <a:graphic>
              <a:graphicData uri="http://schemas.openxmlformats.org/drawingml/2006/picture">
                <pic:pic>
                  <pic:nvPicPr>
                    <pic:cNvPr descr="image/19_1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9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19: Измененные параметры симуляции в OpenModelica. С = 0.9</w:t>
      </w:r>
    </w:p>
    <w:p>
      <w:pPr>
        <w:pStyle w:val="BodyText"/>
      </w:pPr>
      <w:r>
        <w:t xml:space="preserve">И получим следующие графики. (рис. 20, 21).</w:t>
      </w:r>
    </w:p>
    <w:p>
      <w:pPr>
        <w:pStyle w:val="CaptionedFigure"/>
      </w:pPr>
      <w:bookmarkStart w:id="103" w:name="fig:020"/>
      <w:r>
        <w:drawing>
          <wp:inline>
            <wp:extent cx="5334000" cy="2655910"/>
            <wp:effectExtent b="0" l="0" r="0" t="0"/>
            <wp:docPr descr="Рис. 20: Динамика изменения размера TCP окна W(t)(красная) и размера очереди Q(t)(синия) в OpenModelica. C = 0.9" title="" id="101" name="Picture"/>
            <a:graphic>
              <a:graphicData uri="http://schemas.openxmlformats.org/drawingml/2006/picture">
                <pic:pic>
                  <pic:nvPicPr>
                    <pic:cNvPr descr="image/20_1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5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Рис. 20: Динамика изменения размера TCP окна W(t)(красная) и размера очереди Q(t)(синия) в OpenModelica. C = 0.9</w:t>
      </w:r>
    </w:p>
    <w:p>
      <w:pPr>
        <w:pStyle w:val="CaptionedFigure"/>
      </w:pPr>
      <w:bookmarkStart w:id="107" w:name="fig:021"/>
      <w:r>
        <w:drawing>
          <wp:inline>
            <wp:extent cx="5334000" cy="2653094"/>
            <wp:effectExtent b="0" l="0" r="0" t="0"/>
            <wp:docPr descr="Рис. 21: Фазовый портрет (W, Q) в OpenModelica. C = 0.9" title="" id="105" name="Picture"/>
            <a:graphic>
              <a:graphicData uri="http://schemas.openxmlformats.org/drawingml/2006/picture">
                <pic:pic>
                  <pic:nvPicPr>
                    <pic:cNvPr descr="image/21_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3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Рис. 21: Фазовый портрет (W, Q) в OpenModelica. C = 0.9</w:t>
      </w:r>
    </w:p>
    <w:bookmarkEnd w:id="108"/>
    <w:bookmarkEnd w:id="109"/>
    <w:bookmarkStart w:id="11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исследовали модель TCP/AQM с помощью программы</w:t>
      </w:r>
      <w:r>
        <w:t xml:space="preserve"> </w:t>
      </w:r>
      <w:r>
        <w:rPr>
          <w:iCs/>
          <w:i/>
        </w:rPr>
        <w:t xml:space="preserve">xcos</w:t>
      </w:r>
      <w:r>
        <w:t xml:space="preserve"> </w:t>
      </w:r>
      <w:r>
        <w:t xml:space="preserve">и OpenModelica.</w:t>
      </w:r>
    </w:p>
    <w:bookmarkEnd w:id="110"/>
    <w:bookmarkStart w:id="114" w:name="список-литературы"/>
    <w:p>
      <w:pPr>
        <w:pStyle w:val="Heading1"/>
      </w:pPr>
      <w:r>
        <w:t xml:space="preserve">Список литературы</w:t>
      </w:r>
    </w:p>
    <w:bookmarkStart w:id="113" w:name="refs"/>
    <w:bookmarkStart w:id="111" w:name="ref-lab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Королькова А.В., Кулябов Д.С. Лабораторная работа №8. Модель TCP/AQM [Электронный ресурс].</w:t>
      </w:r>
    </w:p>
    <w:bookmarkEnd w:id="111"/>
    <w:bookmarkStart w:id="112" w:name="ref-xss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Королькова А.В., Кулябов Д.С. Компонентное моделирование. Scilab, подсистема xcos [Электронный ресурс].</w:t>
      </w:r>
    </w:p>
    <w:bookmarkEnd w:id="112"/>
    <w:bookmarkEnd w:id="113"/>
    <w:bookmarkEnd w:id="1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3" Target="media/rId23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Кадров Виктор Максимович</dc:creator>
  <dc:language>ru-RU</dc:language>
  <cp:keywords/>
  <dcterms:created xsi:type="dcterms:W3CDTF">2025-03-29T13:45:31Z</dcterms:created>
  <dcterms:modified xsi:type="dcterms:W3CDTF">2025-03-29T13:45:31Z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Модель TCP/AQM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