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модель «Накорми студентов» с помощью программы</w:t>
      </w:r>
      <w:r>
        <w:t xml:space="preserve"> </w:t>
      </w:r>
      <w:r>
        <w:rPr>
          <w:iCs/>
          <w:i/>
        </w:rPr>
        <w:t xml:space="preserve">CPN Tools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«Накорми студентов» в</w:t>
      </w:r>
      <w:r>
        <w:t xml:space="preserve"> </w:t>
      </w:r>
      <w:r>
        <w:rPr>
          <w:iCs/>
          <w:i/>
        </w:rPr>
        <w:t xml:space="preserve">CPN Tools</w:t>
      </w:r>
      <w:r>
        <w:t xml:space="preserve">[2]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реализация-модели-в-cpn-too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</w:t>
      </w:r>
      <w:r>
        <w:t xml:space="preserve"> </w:t>
      </w:r>
      <w:r>
        <w:rPr>
          <w:iCs/>
          <w:i/>
        </w:rPr>
        <w:t xml:space="preserve">CPN Tools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</w:p>
    <w:p>
      <w:pPr>
        <w:numPr>
          <w:ilvl w:val="0"/>
          <w:numId w:val="1002"/>
        </w:numPr>
      </w:pPr>
      <w:r>
        <w:t xml:space="preserve">два типа фишек: «пироги» и «студенты»;</w:t>
      </w:r>
    </w:p>
    <w:p>
      <w:pPr>
        <w:numPr>
          <w:ilvl w:val="0"/>
          <w:numId w:val="1002"/>
        </w:numPr>
      </w:pPr>
      <w:r>
        <w:t xml:space="preserve">три позиции: «голодный студент», «пирожки», «сытый студент»;</w:t>
      </w:r>
    </w:p>
    <w:p>
      <w:pPr>
        <w:numPr>
          <w:ilvl w:val="0"/>
          <w:numId w:val="1002"/>
        </w:numPr>
      </w:pPr>
      <w:r>
        <w:t xml:space="preserve">один переход: «съесть пирожок».</w:t>
      </w:r>
    </w:p>
    <w:p>
      <w:pPr>
        <w:pStyle w:val="FirstParagraph"/>
      </w:pPr>
      <w:r>
        <w:t xml:space="preserve">Нарисуем граф сети. Для этого с помощью контекстного меню создаём новую сеть, добавляем позиции, переход и дуги (рис. 1).</w:t>
      </w:r>
    </w:p>
    <w:p>
      <w:pPr>
        <w:pStyle w:val="CaptionedFigure"/>
      </w:pPr>
      <w:bookmarkStart w:id="25" w:name="fig:001"/>
      <w:r>
        <w:drawing>
          <wp:inline>
            <wp:extent cx="5334000" cy="4061208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image/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 позиций, выражения для дуг. Для этого наведя мышку на меню Standart declarations, правой кнопкой вызываем контекстное меню и выбираем New Decl. После этого задаем тип s фишкам, относящимся к студентам, тип p — фишкам, относящимся к пирогам, задаём значения переменных x и y для дуг и начальные 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(рис. 2).</w:t>
      </w:r>
    </w:p>
    <w:p>
      <w:pPr>
        <w:pStyle w:val="CaptionedFigure"/>
      </w:pPr>
      <w:bookmarkStart w:id="29" w:name="fig:002"/>
      <w:r>
        <w:drawing>
          <wp:inline>
            <wp:extent cx="3248358" cy="1688123"/>
            <wp:effectExtent b="0" l="0" r="0" t="0"/>
            <wp:docPr descr="Рис. 2: 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6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3" w:name="fig:003"/>
      <w:r>
        <w:drawing>
          <wp:inline>
            <wp:extent cx="5334000" cy="2750019"/>
            <wp:effectExtent b="0" l="0" r="0" t="0"/>
            <wp:docPr descr="Рис. 3: Модель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3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 (рис. 4).</w:t>
      </w:r>
    </w:p>
    <w:p>
      <w:pPr>
        <w:pStyle w:val="CaptionedFigure"/>
      </w:pPr>
      <w:bookmarkStart w:id="37" w:name="fig:004"/>
      <w:r>
        <w:drawing>
          <wp:inline>
            <wp:extent cx="5334000" cy="4073539"/>
            <wp:effectExtent b="0" l="0" r="0" t="0"/>
            <wp:docPr descr="Рис. 4: Запуск модели «Накорми студентов»" title="" id="35" name="Picture"/>
            <a:graphic>
              <a:graphicData uri="http://schemas.openxmlformats.org/drawingml/2006/picture">
                <pic:pic>
                  <pic:nvPicPr>
                    <pic:cNvPr descr="image/4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 «Накорми студентов»</w:t>
      </w:r>
    </w:p>
    <w:bookmarkEnd w:id="38"/>
    <w:bookmarkStart w:id="43" w:name="упражн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Построим граф по этому пространству(рис. 5).</w:t>
      </w:r>
    </w:p>
    <w:p>
      <w:pPr>
        <w:pStyle w:val="CaptionedFigure"/>
      </w:pPr>
      <w:bookmarkStart w:id="42" w:name="fig:005"/>
      <w:r>
        <w:drawing>
          <wp:inline>
            <wp:extent cx="5334000" cy="5817861"/>
            <wp:effectExtent b="0" l="0" r="0" t="0"/>
            <wp:docPr descr="Рис. 5: Граф пространства состояний" title="" id="40" name="Picture"/>
            <a:graphic>
              <a:graphicData uri="http://schemas.openxmlformats.org/drawingml/2006/picture">
                <pic:pic>
                  <pic:nvPicPr>
                    <pic:cNvPr descr="image/5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Граф пространства состояний</w:t>
      </w:r>
    </w:p>
    <w:p>
      <w:pPr>
        <w:pStyle w:val="BodyText"/>
      </w:pPr>
      <w:r>
        <w:t xml:space="preserve">Сформируем отчет пространства состояний. Из него может увидеть:</w:t>
      </w:r>
    </w:p>
    <w:p>
      <w:pPr>
        <w:numPr>
          <w:ilvl w:val="0"/>
          <w:numId w:val="1003"/>
        </w:numPr>
        <w:pStyle w:val="Compact"/>
      </w:pPr>
      <w:r>
        <w:t xml:space="preserve">В графе 4 узла и 3 дуги, соответственно 4 состояния и 3 перехода.</w:t>
      </w:r>
    </w:p>
    <w:p>
      <w:pPr>
        <w:numPr>
          <w:ilvl w:val="0"/>
          <w:numId w:val="1003"/>
        </w:numPr>
        <w:pStyle w:val="Compact"/>
      </w:pPr>
      <w:r>
        <w:t xml:space="preserve">Затем 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3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3"/>
        </w:numPr>
        <w:pStyle w:val="Compact"/>
      </w:pPr>
      <w:r>
        <w:t xml:space="preserve">Маркировка home равная 4, так как в эту позицию мы можем попасть из любой другой маркировки.</w:t>
      </w:r>
    </w:p>
    <w:p>
      <w:pPr>
        <w:numPr>
          <w:ilvl w:val="0"/>
          <w:numId w:val="1003"/>
        </w:numPr>
        <w:pStyle w:val="Compact"/>
      </w:pPr>
      <w:r>
        <w:t xml:space="preserve">Маркировка dead равная 4, так как из неё переходов быть не может.</w:t>
      </w:r>
    </w:p>
    <w:p>
      <w:pPr>
        <w:numPr>
          <w:ilvl w:val="0"/>
          <w:numId w:val="1003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Sat Apr  5 23:42:26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New_Page'food 1         5          2</w:t>
      </w:r>
      <w:r>
        <w:br/>
      </w:r>
      <w:r>
        <w:rPr>
          <w:rStyle w:val="VerbatimChar"/>
        </w:rPr>
        <w:t xml:space="preserve">     New_Page'happy_studeents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New_Page'hungry_students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New_Page'food 1     5`pirozhok</w:t>
      </w:r>
      <w:r>
        <w:br/>
      </w:r>
      <w:r>
        <w:rPr>
          <w:rStyle w:val="VerbatimChar"/>
        </w:rPr>
        <w:t xml:space="preserve">     New_Page'happy_studeents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New_Page'hungry_students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New_Page'food 1     2`pirozhok</w:t>
      </w:r>
      <w:r>
        <w:br/>
      </w:r>
      <w:r>
        <w:rPr>
          <w:rStyle w:val="VerbatimChar"/>
        </w:rPr>
        <w:t xml:space="preserve">     New_Page'happy_studeents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New_Page'hungry_students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исследовали модель «Накорми студентов» с помощью программы</w:t>
      </w:r>
      <w:r>
        <w:t xml:space="preserve"> </w:t>
      </w:r>
      <w:r>
        <w:rPr>
          <w:iCs/>
          <w:i/>
        </w:rPr>
        <w:t xml:space="preserve">CPN Tools</w:t>
      </w:r>
      <w:r>
        <w:t xml:space="preserve">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6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№9. Модель «Накорми студентов» [Электронный ресурс].</w:t>
      </w:r>
    </w:p>
    <w:bookmarkEnd w:id="46"/>
    <w:bookmarkStart w:id="47" w:name="ref-cpn_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Кадров Виктор Максимович</dc:creator>
  <dc:language>ru-RU</dc:language>
  <cp:keywords/>
  <dcterms:created xsi:type="dcterms:W3CDTF">2025-04-05T21:01:16Z</dcterms:created>
  <dcterms:modified xsi:type="dcterms:W3CDTF">2025-04-05T21:01:16Z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«Накорми студентов»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