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Пример</w:t>
      </w:r>
      <w:r>
        <w:t xml:space="preserve"> </w:t>
      </w:r>
      <w:r>
        <w:t xml:space="preserve">моделирования</w:t>
      </w:r>
      <w:r>
        <w:t xml:space="preserve"> </w:t>
      </w:r>
      <w:r>
        <w:t xml:space="preserve">простого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передачи</w:t>
      </w:r>
      <w:r>
        <w:t xml:space="preserve"> </w:t>
      </w:r>
      <w:r>
        <w:t xml:space="preserve">данных</w:t>
      </w:r>
    </w:p>
    <w:p>
      <w:pPr>
        <w:pStyle w:val="Author"/>
      </w:pPr>
      <w:r>
        <w:t xml:space="preserve">Кадров</w:t>
      </w:r>
      <w:r>
        <w:t xml:space="preserve"> </w:t>
      </w:r>
      <w:r>
        <w:t xml:space="preserve">Виктор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bookmarkStart w:id="20" w:name="цели-и-задачи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Цели и задачи</w:t>
      </w:r>
    </w:p>
    <w:p>
      <w:pPr>
        <w:pStyle w:val="FirstParagraph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Реализовать в</w:t>
      </w:r>
      <w:r>
        <w:t xml:space="preserve"> </w:t>
      </w:r>
      <w:r>
        <w:rPr>
          <w:iCs/>
          <w:i/>
        </w:rPr>
        <w:t xml:space="preserve">CPN Tools</w:t>
      </w:r>
      <w:r>
        <w:t xml:space="preserve"> </w:t>
      </w:r>
      <w:r>
        <w:t xml:space="preserve">простой протокол передачи данных и провести анализ</w:t>
      </w:r>
      <w:r>
        <w:t xml:space="preserve">[1]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в</w:t>
      </w:r>
      <w:r>
        <w:t xml:space="preserve"> </w:t>
      </w:r>
      <w:r>
        <w:rPr>
          <w:iCs/>
          <w:i/>
        </w:rPr>
        <w:t xml:space="preserve">CPN Tools</w:t>
      </w:r>
      <w:r>
        <w:t xml:space="preserve"> </w:t>
      </w:r>
      <w:r>
        <w:t xml:space="preserve">простой протокол передачи данных</w:t>
      </w:r>
      <w:r>
        <w:t xml:space="preserve">[2]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Вычислить пространство состояний, сформировать отчет о нем и построить граф.</w:t>
      </w:r>
    </w:p>
    <w:bookmarkEnd w:id="20"/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6" w:name="реализация-задачи-в-cpn-tool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задачи в CPN Tools</w:t>
      </w:r>
    </w:p>
    <w:p>
      <w:pPr>
        <w:pStyle w:val="FirstParagraph"/>
      </w:pPr>
      <w:r>
        <w:t xml:space="preserve">Основные состояния: источник (Send), получатель (Receiver).</w:t>
      </w:r>
      <w:r>
        <w:t xml:space="preserve"> </w:t>
      </w:r>
      <w:r>
        <w:t xml:space="preserve">Действия (переходы): отправить пакет (Send Packet), отправить подтверждение (Send ACK).</w:t>
      </w:r>
      <w:r>
        <w:t xml:space="preserve"> </w:t>
      </w:r>
      <w:r>
        <w:t xml:space="preserve">Промежуточное состояние: следующий посылаемый пакет (NextSend).</w:t>
      </w:r>
      <w:r>
        <w:t xml:space="preserve"> </w:t>
      </w:r>
      <w:r>
        <w:t xml:space="preserve">Зададим декларации модели (рис. 1).</w:t>
      </w:r>
    </w:p>
    <w:p>
      <w:pPr>
        <w:pStyle w:val="CaptionedFigure"/>
      </w:pPr>
      <w:bookmarkStart w:id="25" w:name="fig:001"/>
      <w:r>
        <w:drawing>
          <wp:inline>
            <wp:extent cx="2730411" cy="1573023"/>
            <wp:effectExtent b="0" l="0" r="0" t="0"/>
            <wp:docPr descr="Рис. 1: Задание деклараций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411" cy="1573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Задание деклараций</w:t>
      </w:r>
    </w:p>
    <w:p>
      <w:pPr>
        <w:pStyle w:val="BodyText"/>
      </w:pPr>
      <w:r>
        <w:t xml:space="preserve">Состояние Send имеет тип INTxDATA и следующую начальную маркировку (в соответствии с передаваемой фразой).</w:t>
      </w:r>
    </w:p>
    <w:p>
      <w:pPr>
        <w:pStyle w:val="BodyText"/>
      </w:pPr>
      <w:r>
        <w:t xml:space="preserve">Стоповый байт (</w:t>
      </w:r>
      <w:r>
        <w:t xml:space="preserve">“</w:t>
      </w:r>
      <w:r>
        <w:t xml:space="preserve">########</w:t>
      </w:r>
      <w:r>
        <w:t xml:space="preserve">”</w:t>
      </w:r>
      <w:r>
        <w:t xml:space="preserve">) определяет, что сообщение закончилось.</w:t>
      </w:r>
    </w:p>
    <w:p>
      <w:pPr>
        <w:pStyle w:val="BodyText"/>
      </w:pPr>
      <w:r>
        <w:t xml:space="preserve">Состояние Receiver имеет тип DATA и начальное значение 1’“” (т.е. пустая строка, поскольку состояние собирает данные и номер пакета его не интересует). Состояние NextSend имеет тип INT и начальное значение 1’1.</w:t>
      </w:r>
    </w:p>
    <w:p>
      <w:pPr>
        <w:pStyle w:val="BodyText"/>
      </w:pPr>
      <w:r>
        <w:t xml:space="preserve">Поскольку пакеты представляют собой кортеж, состоящий из номера пакета и строки, то выражение у двусторонней дуги будет иметь значение (n,p).</w:t>
      </w:r>
    </w:p>
    <w:p>
      <w:pPr>
        <w:pStyle w:val="BodyText"/>
      </w:pPr>
      <w:r>
        <w:t xml:space="preserve">Кроме того, необходимо взаимодействовать с состоянием, которое будет сообщать номер следующего посылаемого пакета данных. Поэтому переход Send Packet соединяем с состоянием NextSend двумя дугами с выражениями n. </w:t>
      </w:r>
    </w:p>
    <w:p>
      <w:pPr>
        <w:pStyle w:val="BodyText"/>
      </w:pPr>
      <w:r>
        <w:t xml:space="preserve">Также необходимо получать информацию с подтверждениями о получении данных. От перехода Send Packet к состоянию NextSend дуга с выражением n, обратно – k.</w:t>
      </w:r>
    </w:p>
    <w:p>
      <w:pPr>
        <w:pStyle w:val="BodyText"/>
      </w:pPr>
      <w:r>
        <w:t xml:space="preserve">Построим начальный граф(рис. 2):</w:t>
      </w:r>
    </w:p>
    <w:p>
      <w:pPr>
        <w:pStyle w:val="CaptionedFigure"/>
      </w:pPr>
      <w:bookmarkStart w:id="29" w:name="fig:002"/>
      <w:r>
        <w:drawing>
          <wp:inline>
            <wp:extent cx="5334000" cy="3542993"/>
            <wp:effectExtent b="0" l="0" r="0" t="0"/>
            <wp:docPr descr="Рис. 2: Начальный граф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2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Начальный граф</w:t>
      </w:r>
    </w:p>
    <w:p>
      <w:pPr>
        <w:pStyle w:val="BodyText"/>
      </w:pPr>
      <w:r>
        <w:t xml:space="preserve">Зададим промежуточные состояния (A, B с типом INTxDATA, C, D с типом INTxDATA) для переходов: передать пакет Transmit Packet (передаём (n,p)), передать подтверждение Transmit ACK (передаём целое число k).</w:t>
      </w:r>
    </w:p>
    <w:p>
      <w:pPr>
        <w:pStyle w:val="BodyText"/>
      </w:pPr>
      <w:r>
        <w:t xml:space="preserve">Добавляем переход получения пакета (Receive Packet).</w:t>
      </w:r>
    </w:p>
    <w:p>
      <w:pPr>
        <w:pStyle w:val="BodyText"/>
      </w:pPr>
      <w:r>
        <w:t xml:space="preserve">От состояния Receiver идёт дуга к переходу Receive Packet со значением той строки (str), которая находится в состоянии Receiver. Обратно: проверяем, что номер пакета новый и строка не равна стоп-биту. Если это так, то строку добавляем к полученным данным.</w:t>
      </w:r>
    </w:p>
    <w:p>
      <w:pPr>
        <w:pStyle w:val="BodyText"/>
      </w:pPr>
      <w:r>
        <w:t xml:space="preserve">Кроме того, необходимо знать, каким будет номер следующего пакета. Для этого добавляем состояние NextRec с типом INT и начальным значением 1’1 (один пакет), связываем его дугами с переходом Receive Packet. Причём к переходу идёт дуга с выражением k, от перехода — if n=k then k+1 else k.</w:t>
      </w:r>
    </w:p>
    <w:p>
      <w:pPr>
        <w:pStyle w:val="BodyText"/>
      </w:pPr>
      <w:r>
        <w:t xml:space="preserve">Связываем состояния B и C с переходом Receive Packet. От состояния B к переходу Receive Packet — выражение (n,p), от перехода Receive Packet к состоянию C — выражение if n=k then k+1 else k.</w:t>
      </w:r>
    </w:p>
    <w:p>
      <w:pPr>
        <w:pStyle w:val="BodyText"/>
      </w:pPr>
      <w:r>
        <w:t xml:space="preserve">От перехода Receive Packet к состоянию Receiver: if n=k andalso p&lt;&gt;stop then str^p else str. (если n=k и мы не получили стоп-байт, то направляем в состояние строку и к ней прикрепляем p, в противном случае посылаем толко строку).</w:t>
      </w:r>
    </w:p>
    <w:p>
      <w:pPr>
        <w:pStyle w:val="BodyText"/>
      </w:pPr>
      <w:r>
        <w:t xml:space="preserve">На переходах Transmit Packet и Transmit ACK зададим потерю пакетов. Для этого на интервале от 0 до 10 зададим пороговое значение и, если передаваемое значение превысит этот порог, то считаем, что произошла потеря пакета, если нет, то передаём пакет дальше. Для этого задаём вспомогательные состояния SP и SA с типом Ten0 и начальным значением 1`8, соединяем с соответствующими переходами(рис. 3):</w:t>
      </w:r>
    </w:p>
    <w:p>
      <w:pPr>
        <w:pStyle w:val="CaptionedFigure"/>
      </w:pPr>
      <w:bookmarkStart w:id="33" w:name="fig:003"/>
      <w:r>
        <w:drawing>
          <wp:inline>
            <wp:extent cx="5334000" cy="3728621"/>
            <wp:effectExtent b="0" l="0" r="0" t="0"/>
            <wp:docPr descr="Рис. 3: Добавление промежуточных состояний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8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Добавление промежуточных состояний</w:t>
      </w:r>
    </w:p>
    <w:p>
      <w:pPr>
        <w:pStyle w:val="BodyText"/>
      </w:pPr>
      <w:r>
        <w:t xml:space="preserve">В декларациях задаём(рис. 4):</w:t>
      </w:r>
    </w:p>
    <w:p>
      <w:pPr>
        <w:pStyle w:val="CaptionedFigure"/>
      </w:pPr>
      <w:bookmarkStart w:id="37" w:name="fig:004"/>
      <w:r>
        <w:drawing>
          <wp:inline>
            <wp:extent cx="2583339" cy="2225253"/>
            <wp:effectExtent b="0" l="0" r="0" t="0"/>
            <wp:docPr descr="Рис. 4: Задание деклараций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339" cy="2225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Задание деклараций</w:t>
      </w:r>
    </w:p>
    <w:p>
      <w:pPr>
        <w:pStyle w:val="BodyText"/>
      </w:pPr>
      <w:r>
        <w:t xml:space="preserve">Таким образом, получим модель простого протокола передачи данных.</w:t>
      </w:r>
      <w:r>
        <w:t xml:space="preserve"> </w:t>
      </w:r>
      <w:r>
        <w:t xml:space="preserve">Пакет последовательно проходит: состояние Send, переход Send Packet, состояние A, с некоторой вероятностью переход Transmit Packet, состояние B, попадает на переход Receive Packet, где проверяется номер пакета и если нет совпадения, то пакет направляется в состояние Received, а номер пакета передаётся последовательно в состояние C, с некоторой вероятностью в переход Transmit ACK,</w:t>
      </w:r>
      <w:r>
        <w:t xml:space="preserve"> </w:t>
      </w:r>
      <w:r>
        <w:t xml:space="preserve">далее в состояние D, переход Receive ACK, состояние NextSend (увеличивая на 1 номер следующего пакета), переход Send Packet. Так продолжается до тех пор, пока не будут переданы все части сообщения. Последней будет передана стоп-последовательность(рис. 5):</w:t>
      </w:r>
    </w:p>
    <w:p>
      <w:pPr>
        <w:pStyle w:val="CaptionedFigure"/>
      </w:pPr>
      <w:bookmarkStart w:id="41" w:name="fig:005"/>
      <w:r>
        <w:drawing>
          <wp:inline>
            <wp:extent cx="5334000" cy="3984433"/>
            <wp:effectExtent b="0" l="0" r="0" t="0"/>
            <wp:docPr descr="Рис. 5: Модель простого протокола передачи данных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4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Модель простого протокола передачи данных</w:t>
      </w:r>
    </w:p>
    <w:p>
      <w:pPr>
        <w:pStyle w:val="BodyText"/>
      </w:pPr>
      <w:r>
        <w:t xml:space="preserve">Запустим модель(рис. 6).</w:t>
      </w:r>
    </w:p>
    <w:p>
      <w:pPr>
        <w:pStyle w:val="CaptionedFigure"/>
      </w:pPr>
      <w:bookmarkStart w:id="45" w:name="fig:006"/>
      <w:r>
        <w:drawing>
          <wp:inline>
            <wp:extent cx="5334000" cy="3816227"/>
            <wp:effectExtent b="0" l="0" r="0" t="0"/>
            <wp:docPr descr="Рис. 6: Запуск модели простого протокола передачи данных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6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Запуск модели простого протокола передачи данных</w:t>
      </w:r>
    </w:p>
    <w:bookmarkEnd w:id="46"/>
    <w:bookmarkStart w:id="51" w:name="пространство-состояний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Пространство состояний</w:t>
      </w:r>
    </w:p>
    <w:p>
      <w:pPr>
        <w:pStyle w:val="FirstParagraph"/>
      </w:pPr>
      <w:r>
        <w:t xml:space="preserve">Затем сформируем отчет пространства состояний. Из него может увидеть:</w:t>
      </w:r>
    </w:p>
    <w:p>
      <w:pPr>
        <w:numPr>
          <w:ilvl w:val="0"/>
          <w:numId w:val="1002"/>
        </w:numPr>
        <w:pStyle w:val="Compact"/>
      </w:pPr>
      <w:r>
        <w:t xml:space="preserve">есть 15804 состояния и 247803 перехода между ними, в графе строго соединенных компонент 9348 узлов и 211289 дуг.</w:t>
      </w:r>
    </w:p>
    <w:p>
      <w:pPr>
        <w:numPr>
          <w:ilvl w:val="0"/>
          <w:numId w:val="1002"/>
        </w:numPr>
        <w:pStyle w:val="Compact"/>
      </w:pPr>
      <w:r>
        <w:t xml:space="preserve">Затем указаны границы значений для каждого элемента: промежуточные состояния A, B, C, D(наибольшая верхняя граница у A, так как после него пакеты отбрасываются), вспомогательные состояния SP, SA, NextRec, NextSend, Receiver(в них может находиться только один пакет) и состояние Send(в нем хранится только 8 элементов, так как мы задали их в начале и с ними никаких изменений не происходит).</w:t>
      </w:r>
    </w:p>
    <w:p>
      <w:pPr>
        <w:numPr>
          <w:ilvl w:val="0"/>
          <w:numId w:val="1002"/>
        </w:numPr>
        <w:pStyle w:val="Compact"/>
      </w:pPr>
      <w:r>
        <w:t xml:space="preserve">Также указаны границы в виде мультимножеств.</w:t>
      </w:r>
    </w:p>
    <w:p>
      <w:pPr>
        <w:numPr>
          <w:ilvl w:val="0"/>
          <w:numId w:val="1002"/>
        </w:numPr>
        <w:pStyle w:val="Compact"/>
      </w:pPr>
      <w:r>
        <w:t xml:space="preserve">Маркировка Home Markings равная None для всех состояний, так как модель где-то завершается и не входит в бесконечный цикл, при любых обстоятельствах во время выполнения модели процесса всегда можно достичь маркировки, где успешно передаётся вся информация и принимается подходящее решение.</w:t>
      </w:r>
    </w:p>
    <w:p>
      <w:pPr>
        <w:numPr>
          <w:ilvl w:val="0"/>
          <w:numId w:val="1002"/>
        </w:numPr>
        <w:pStyle w:val="Compact"/>
      </w:pPr>
      <w:r>
        <w:t xml:space="preserve">Маркировка dead равная 6555 [9999,9998,9997,9996,9995,…] - это состояния, в которых не активированы никакие переходы.</w:t>
      </w:r>
    </w:p>
    <w:p>
      <w:pPr>
        <w:numPr>
          <w:ilvl w:val="0"/>
          <w:numId w:val="1002"/>
        </w:numPr>
        <w:pStyle w:val="Compact"/>
      </w:pPr>
      <w:r>
        <w:t xml:space="preserve">В конце указано, что бесконечно часто могут происходить(Impartial Transition Instances) события Send_Packet и Transmit_Packet(они позволяют сети всегда передавать данные). Также указаны Transition Instances with No Fairness: Send_ACK, Transmit_ACK, Received_Packet. Это означает, что существует последовательность бесконечных срабатываний, в которой переход непрерывно включён с определённого момента, но больше не срабатывает. 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/home/openmodelica/Desktop/lab12.cpn</w:t>
      </w:r>
      <w:r>
        <w:br/>
      </w:r>
      <w:r>
        <w:rPr>
          <w:rStyle w:val="VerbatimChar"/>
        </w:rPr>
        <w:t xml:space="preserve">Report generated: Sat Apr 26 22:52:29 2025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15804</w:t>
      </w:r>
      <w:r>
        <w:br/>
      </w:r>
      <w:r>
        <w:rPr>
          <w:rStyle w:val="VerbatimChar"/>
        </w:rPr>
        <w:t xml:space="preserve">     Arcs:   247803</w:t>
      </w:r>
      <w:r>
        <w:br/>
      </w:r>
      <w:r>
        <w:rPr>
          <w:rStyle w:val="VerbatimChar"/>
        </w:rPr>
        <w:t xml:space="preserve">     Secs:   300</w:t>
      </w:r>
      <w:r>
        <w:br/>
      </w:r>
      <w:r>
        <w:rPr>
          <w:rStyle w:val="VerbatimChar"/>
        </w:rPr>
        <w:t xml:space="preserve">     Status: Partial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9348</w:t>
      </w:r>
      <w:r>
        <w:br/>
      </w:r>
      <w:r>
        <w:rPr>
          <w:rStyle w:val="VerbatimChar"/>
        </w:rPr>
        <w:t xml:space="preserve">     Arcs:   211289</w:t>
      </w:r>
      <w:r>
        <w:br/>
      </w:r>
      <w:r>
        <w:rPr>
          <w:rStyle w:val="VerbatimChar"/>
        </w:rPr>
        <w:t xml:space="preserve">     Secs:   13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lab_12'A 1              12         0</w:t>
      </w:r>
      <w:r>
        <w:br/>
      </w:r>
      <w:r>
        <w:rPr>
          <w:rStyle w:val="VerbatimChar"/>
        </w:rPr>
        <w:t xml:space="preserve">     lab_12'B 1              7          0</w:t>
      </w:r>
      <w:r>
        <w:br/>
      </w:r>
      <w:r>
        <w:rPr>
          <w:rStyle w:val="VerbatimChar"/>
        </w:rPr>
        <w:t xml:space="preserve">     lab_12'C 1              5          0</w:t>
      </w:r>
      <w:r>
        <w:br/>
      </w:r>
      <w:r>
        <w:rPr>
          <w:rStyle w:val="VerbatimChar"/>
        </w:rPr>
        <w:t xml:space="preserve">     lab_12'D 1              7          0</w:t>
      </w:r>
      <w:r>
        <w:br/>
      </w:r>
      <w:r>
        <w:rPr>
          <w:rStyle w:val="VerbatimChar"/>
        </w:rPr>
        <w:t xml:space="preserve">     lab_12'NextRec 1        1          1</w:t>
      </w:r>
      <w:r>
        <w:br/>
      </w:r>
      <w:r>
        <w:rPr>
          <w:rStyle w:val="VerbatimChar"/>
        </w:rPr>
        <w:t xml:space="preserve">     lab_12'NextSend 1       1          1</w:t>
      </w:r>
      <w:r>
        <w:br/>
      </w:r>
      <w:r>
        <w:rPr>
          <w:rStyle w:val="VerbatimChar"/>
        </w:rPr>
        <w:t xml:space="preserve">     lab_12'Receiver 1       1          1</w:t>
      </w:r>
      <w:r>
        <w:br/>
      </w:r>
      <w:r>
        <w:rPr>
          <w:rStyle w:val="VerbatimChar"/>
        </w:rPr>
        <w:t xml:space="preserve">     lab_12'SA 1             1          1</w:t>
      </w:r>
      <w:r>
        <w:br/>
      </w:r>
      <w:r>
        <w:rPr>
          <w:rStyle w:val="VerbatimChar"/>
        </w:rPr>
        <w:t xml:space="preserve">     lab_12'SP 1             1          1</w:t>
      </w:r>
      <w:r>
        <w:br/>
      </w:r>
      <w:r>
        <w:rPr>
          <w:rStyle w:val="VerbatimChar"/>
        </w:rPr>
        <w:t xml:space="preserve">     lab_12'Send 1           8          8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lab_12'A 1          12`(2,"g and An")++</w:t>
      </w:r>
      <w:r>
        <w:br/>
      </w:r>
      <w:r>
        <w:rPr>
          <w:rStyle w:val="VerbatimChar"/>
        </w:rPr>
        <w:t xml:space="preserve">9`(3,"alysis b")++</w:t>
      </w:r>
      <w:r>
        <w:br/>
      </w:r>
      <w:r>
        <w:rPr>
          <w:rStyle w:val="VerbatimChar"/>
        </w:rPr>
        <w:t xml:space="preserve">4`(4,"y Means ")</w:t>
      </w:r>
      <w:r>
        <w:br/>
      </w:r>
      <w:r>
        <w:rPr>
          <w:rStyle w:val="VerbatimChar"/>
        </w:rPr>
        <w:t xml:space="preserve">     lab_12'B 1          7`(2,"g and An")++</w:t>
      </w:r>
      <w:r>
        <w:br/>
      </w:r>
      <w:r>
        <w:rPr>
          <w:rStyle w:val="VerbatimChar"/>
        </w:rPr>
        <w:t xml:space="preserve">4`(3,"alysis b")++</w:t>
      </w:r>
      <w:r>
        <w:br/>
      </w:r>
      <w:r>
        <w:rPr>
          <w:rStyle w:val="VerbatimChar"/>
        </w:rPr>
        <w:t xml:space="preserve">2`(4,"y Means ")</w:t>
      </w:r>
      <w:r>
        <w:br/>
      </w:r>
      <w:r>
        <w:rPr>
          <w:rStyle w:val="VerbatimChar"/>
        </w:rPr>
        <w:t xml:space="preserve">     lab_12'C 1          5`3++</w:t>
      </w:r>
      <w:r>
        <w:br/>
      </w:r>
      <w:r>
        <w:rPr>
          <w:rStyle w:val="VerbatimChar"/>
        </w:rPr>
        <w:t xml:space="preserve">4`4++</w:t>
      </w:r>
      <w:r>
        <w:br/>
      </w:r>
      <w:r>
        <w:rPr>
          <w:rStyle w:val="VerbatimChar"/>
        </w:rPr>
        <w:t xml:space="preserve">2`5</w:t>
      </w:r>
      <w:r>
        <w:br/>
      </w:r>
      <w:r>
        <w:rPr>
          <w:rStyle w:val="VerbatimChar"/>
        </w:rPr>
        <w:t xml:space="preserve">     lab_12'D 1          1`2++</w:t>
      </w:r>
      <w:r>
        <w:br/>
      </w:r>
      <w:r>
        <w:rPr>
          <w:rStyle w:val="VerbatimChar"/>
        </w:rPr>
        <w:t xml:space="preserve">6`3++</w:t>
      </w:r>
      <w:r>
        <w:br/>
      </w:r>
      <w:r>
        <w:rPr>
          <w:rStyle w:val="VerbatimChar"/>
        </w:rPr>
        <w:t xml:space="preserve">3`4++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lab_12'NextRec 1    1`3++</w:t>
      </w:r>
      <w:r>
        <w:br/>
      </w:r>
      <w:r>
        <w:rPr>
          <w:rStyle w:val="VerbatimChar"/>
        </w:rPr>
        <w:t xml:space="preserve">1`4++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lab_12'NextSend 1   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</w:t>
      </w:r>
      <w:r>
        <w:br/>
      </w:r>
      <w:r>
        <w:rPr>
          <w:rStyle w:val="VerbatimChar"/>
        </w:rPr>
        <w:t xml:space="preserve">     lab_12'Receiver 1   1`"Modelling and An"++</w:t>
      </w:r>
      <w:r>
        <w:br/>
      </w:r>
      <w:r>
        <w:rPr>
          <w:rStyle w:val="VerbatimChar"/>
        </w:rPr>
        <w:t xml:space="preserve">1`"Modelling and Analysis b"++</w:t>
      </w:r>
      <w:r>
        <w:br/>
      </w:r>
      <w:r>
        <w:rPr>
          <w:rStyle w:val="VerbatimChar"/>
        </w:rPr>
        <w:t xml:space="preserve">1`"Modelling and Analysis by Means "</w:t>
      </w:r>
      <w:r>
        <w:br/>
      </w:r>
      <w:r>
        <w:rPr>
          <w:rStyle w:val="VerbatimChar"/>
        </w:rPr>
        <w:t xml:space="preserve">     lab_12'SA 1         1`8</w:t>
      </w:r>
      <w:r>
        <w:br/>
      </w:r>
      <w:r>
        <w:rPr>
          <w:rStyle w:val="VerbatimChar"/>
        </w:rPr>
        <w:t xml:space="preserve">     lab_12'SP 1         1`8</w:t>
      </w:r>
      <w:r>
        <w:br/>
      </w:r>
      <w:r>
        <w:rPr>
          <w:rStyle w:val="VerbatimChar"/>
        </w:rPr>
        <w:t xml:space="preserve">     lab_12'Send 1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lab_12'A 1          empty</w:t>
      </w:r>
      <w:r>
        <w:br/>
      </w:r>
      <w:r>
        <w:rPr>
          <w:rStyle w:val="VerbatimChar"/>
        </w:rPr>
        <w:t xml:space="preserve">     lab_12'B 1          empty</w:t>
      </w:r>
      <w:r>
        <w:br/>
      </w:r>
      <w:r>
        <w:rPr>
          <w:rStyle w:val="VerbatimChar"/>
        </w:rPr>
        <w:t xml:space="preserve">     lab_12'C 1          empty</w:t>
      </w:r>
      <w:r>
        <w:br/>
      </w:r>
      <w:r>
        <w:rPr>
          <w:rStyle w:val="VerbatimChar"/>
        </w:rPr>
        <w:t xml:space="preserve">     lab_12'D 1          empty</w:t>
      </w:r>
      <w:r>
        <w:br/>
      </w:r>
      <w:r>
        <w:rPr>
          <w:rStyle w:val="VerbatimChar"/>
        </w:rPr>
        <w:t xml:space="preserve">     lab_12'NextRec 1    empty</w:t>
      </w:r>
      <w:r>
        <w:br/>
      </w:r>
      <w:r>
        <w:rPr>
          <w:rStyle w:val="VerbatimChar"/>
        </w:rPr>
        <w:t xml:space="preserve">     lab_12'NextSend 1   empty</w:t>
      </w:r>
      <w:r>
        <w:br/>
      </w:r>
      <w:r>
        <w:rPr>
          <w:rStyle w:val="VerbatimChar"/>
        </w:rPr>
        <w:t xml:space="preserve">     lab_12'Receiver 1   empty</w:t>
      </w:r>
      <w:r>
        <w:br/>
      </w:r>
      <w:r>
        <w:rPr>
          <w:rStyle w:val="VerbatimChar"/>
        </w:rPr>
        <w:t xml:space="preserve">     lab_12'SA 1         1`8</w:t>
      </w:r>
      <w:r>
        <w:br/>
      </w:r>
      <w:r>
        <w:rPr>
          <w:rStyle w:val="VerbatimChar"/>
        </w:rPr>
        <w:t xml:space="preserve">     lab_12'SP 1         1`8</w:t>
      </w:r>
      <w:r>
        <w:br/>
      </w:r>
      <w:r>
        <w:rPr>
          <w:rStyle w:val="VerbatimChar"/>
        </w:rPr>
        <w:t xml:space="preserve">     lab_12'Send 1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6555 [9999,9998,9997,9996,9995,...]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lab_12'Received_Packet 1</w:t>
      </w:r>
      <w:r>
        <w:br/>
      </w:r>
      <w:r>
        <w:rPr>
          <w:rStyle w:val="VerbatimChar"/>
        </w:rPr>
        <w:t xml:space="preserve">                         No Fairness</w:t>
      </w:r>
      <w:r>
        <w:br/>
      </w:r>
      <w:r>
        <w:rPr>
          <w:rStyle w:val="VerbatimChar"/>
        </w:rPr>
        <w:t xml:space="preserve">       lab_12'Send_ACK 1      No Fairness</w:t>
      </w:r>
      <w:r>
        <w:br/>
      </w:r>
      <w:r>
        <w:rPr>
          <w:rStyle w:val="VerbatimChar"/>
        </w:rPr>
        <w:t xml:space="preserve">       lab_12'Send_Packet 1   Impartial</w:t>
      </w:r>
      <w:r>
        <w:br/>
      </w:r>
      <w:r>
        <w:rPr>
          <w:rStyle w:val="VerbatimChar"/>
        </w:rPr>
        <w:t xml:space="preserve">       lab_12'Transmit_ACK 1  No Fairness</w:t>
      </w:r>
      <w:r>
        <w:br/>
      </w:r>
      <w:r>
        <w:rPr>
          <w:rStyle w:val="VerbatimChar"/>
        </w:rPr>
        <w:t xml:space="preserve">       lab_12'Transmit_Packet 1</w:t>
      </w:r>
      <w:r>
        <w:br/>
      </w:r>
      <w:r>
        <w:rPr>
          <w:rStyle w:val="VerbatimChar"/>
        </w:rPr>
        <w:t xml:space="preserve">                         Impartial</w:t>
      </w:r>
    </w:p>
    <w:p>
      <w:pPr>
        <w:pStyle w:val="FirstParagraph"/>
      </w:pPr>
      <w:r>
        <w:t xml:space="preserve">Сформируем начало графа пространства состояний, так как их много(рис. 7):</w:t>
      </w:r>
    </w:p>
    <w:p>
      <w:pPr>
        <w:pStyle w:val="CaptionedFigure"/>
      </w:pPr>
      <w:bookmarkStart w:id="50" w:name="fig:007"/>
      <w:r>
        <w:drawing>
          <wp:inline>
            <wp:extent cx="4629549" cy="1847983"/>
            <wp:effectExtent b="0" l="0" r="0" t="0"/>
            <wp:docPr descr="Рис. 7: Пространство состояний для модели простого протокола передачи данных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549" cy="1847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Пространство состояний для модели простого протокола передачи данных</w:t>
      </w:r>
    </w:p>
    <w:bookmarkEnd w:id="51"/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 реализован в</w:t>
      </w:r>
      <w:r>
        <w:t xml:space="preserve"> </w:t>
      </w:r>
      <w:r>
        <w:rPr>
          <w:iCs/>
          <w:i/>
        </w:rPr>
        <w:t xml:space="preserve">CPN Tools</w:t>
      </w:r>
      <w:r>
        <w:t xml:space="preserve"> </w:t>
      </w:r>
      <w:r>
        <w:t xml:space="preserve">простой протокол передачи данных и проведен анализ его пространства состояний.</w:t>
      </w:r>
    </w:p>
    <w:bookmarkEnd w:id="53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Start w:id="54" w:name="ref-lab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А.В., Кулябов Д.С. Лабораторная работа 12. Пример моделирования простого протокола передачи данных [Электронный ресурс].</w:t>
      </w:r>
    </w:p>
    <w:bookmarkEnd w:id="54"/>
    <w:bookmarkStart w:id="55" w:name="ref-cp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Королькова А.В., Кулябов Д.С. Сети Петри. Моделирование в CPN Tools [Электронный ресурс].</w:t>
      </w:r>
    </w:p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Кадров Виктор Максимович</dc:creator>
  <dc:language>ru-RU</dc:language>
  <cp:keywords/>
  <dcterms:created xsi:type="dcterms:W3CDTF">2025-04-26T20:10:01Z</dcterms:created>
  <dcterms:modified xsi:type="dcterms:W3CDTF">2025-04-26T20:10:01Z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Пример моделирования простого протокола передачи данных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