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  <Override PartName="/word/media/rId60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Виктор</w:t>
      </w:r>
      <w:r>
        <w:t xml:space="preserve"> </w:t>
      </w:r>
      <w:r>
        <w:t xml:space="preserve">Максимович</w:t>
      </w:r>
      <w:r>
        <w:t xml:space="preserve"> </w:t>
      </w:r>
      <w:r>
        <w:t xml:space="preserve">Кадров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Написание программ Hello World!, ее трансляция, компоновка и выполнение.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p>
      <w:pPr>
        <w:numPr>
          <w:ilvl w:val="0"/>
          <w:numId w:val="1001"/>
        </w:numPr>
        <w:pStyle w:val="Compact"/>
      </w:pPr>
      <w:r>
        <w:t xml:space="preserve">Ответы на вопросы для самопроверки.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машинноориентированный язык низкого уровня.</w:t>
      </w:r>
      <w:r>
        <w:t xml:space="preserve"> </w:t>
      </w:r>
      <w:r>
        <w:t xml:space="preserve">Можно считать, что он больше любых других языков приближен к архитектуре ЭВМ и её аппаратным возможностям,</w:t>
      </w:r>
      <w:r>
        <w:t xml:space="preserve"> </w:t>
      </w:r>
      <w:r>
        <w:t xml:space="preserve">что позволяет получить к ним более полный доступ, нежели в языках высокого уровня, таких как C/C++, Perl, Python и пр.</w:t>
      </w:r>
      <w:r>
        <w:t xml:space="preserve"> </w:t>
      </w:r>
      <w:r>
        <w:t xml:space="preserve">Программы, написанные на языке ассемблера, не уступают в качестве и скорости программам, написанным на машинном языке, так как транслятор просто</w:t>
      </w:r>
      <w:r>
        <w:t xml:space="preserve"> </w:t>
      </w:r>
      <w:r>
        <w:t xml:space="preserve">переводит мнемонические обозначения команд в последовательности бит (нулей и единиц).</w:t>
      </w:r>
      <w:r>
        <w:t xml:space="preserve"> </w:t>
      </w:r>
      <w:r>
        <w:t xml:space="preserve">Используемые мнемоники обычно одинаковы для всех процессоров одной</w:t>
      </w:r>
      <w:r>
        <w:t xml:space="preserve"> </w:t>
      </w:r>
      <w:r>
        <w:t xml:space="preserve">архитектуры или семейства архитектур (среди широко известных — мнемоники</w:t>
      </w:r>
      <w:r>
        <w:t xml:space="preserve"> </w:t>
      </w:r>
      <w:r>
        <w:t xml:space="preserve">процессоров и контроллеров x86, ARM, SPARC, PowerPC,M68k). Таким образом</w:t>
      </w:r>
      <w:r>
        <w:t xml:space="preserve"> </w:t>
      </w:r>
      <w:r>
        <w:t xml:space="preserve">для каждой архитектуры существует свой ассемблер и, соответственно, свой</w:t>
      </w:r>
      <w:r>
        <w:t xml:space="preserve"> </w:t>
      </w:r>
      <w:r>
        <w:t xml:space="preserve">язык ассемблера.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папку lab05 и файл hello.asm в ней (рис. 1). После этого проверяем, что файл действительно был создан (рис. 2).</w:t>
      </w:r>
      <w:r>
        <w:t xml:space="preserve"> </w:t>
      </w:r>
      <w:r>
        <w:t xml:space="preserve">Пишем код программы в созданном файле (рис. 3). Транслируем его при помощи NASM в объектный файл (hello.o) и проверяем наличие (рис. 4).</w:t>
      </w:r>
      <w:r>
        <w:t xml:space="preserve"> </w:t>
      </w:r>
      <w:r>
        <w:t xml:space="preserve">Выплоняем команду с дополнительными ключами (рис. 5). Компонуем и получаем на выходе исполняемый файл (рис. 6), выполняем команду с заданием другого имени (obj.o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main) (рис. 7).</w:t>
      </w:r>
      <w:r>
        <w:t xml:space="preserve"> </w:t>
      </w:r>
      <w:r>
        <w:t xml:space="preserve">Исполняем его (рис. 8).</w:t>
      </w:r>
    </w:p>
    <w:p>
      <w:pPr>
        <w:pStyle w:val="CaptionedFigure"/>
      </w:pPr>
      <w:bookmarkStart w:id="26" w:name="fig:001"/>
      <w:r>
        <w:drawing>
          <wp:inline>
            <wp:extent cx="5334000" cy="2750343"/>
            <wp:effectExtent b="0" l="0" r="0" t="0"/>
            <wp:docPr descr="Рис. 1: Создание папки и файла" title="" id="24" name="Picture"/>
            <a:graphic>
              <a:graphicData uri="http://schemas.openxmlformats.org/drawingml/2006/picture">
                <pic:pic>
                  <pic:nvPicPr>
                    <pic:cNvPr descr="image/lab-05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папки и файла</w:t>
      </w:r>
    </w:p>
    <w:p>
      <w:pPr>
        <w:pStyle w:val="CaptionedFigure"/>
      </w:pPr>
      <w:bookmarkStart w:id="30" w:name="fig:002"/>
      <w:r>
        <w:drawing>
          <wp:inline>
            <wp:extent cx="5334000" cy="2750343"/>
            <wp:effectExtent b="0" l="0" r="0" t="0"/>
            <wp:docPr descr="Рис. 2: Проверка с помощью ls" title="" id="28" name="Picture"/>
            <a:graphic>
              <a:graphicData uri="http://schemas.openxmlformats.org/drawingml/2006/picture">
                <pic:pic>
                  <pic:nvPicPr>
                    <pic:cNvPr descr="image/lab-05-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Проверка с помощью ls</w:t>
      </w:r>
    </w:p>
    <w:p>
      <w:pPr>
        <w:pStyle w:val="CaptionedFigure"/>
      </w:pPr>
      <w:bookmarkStart w:id="34" w:name="fig:003"/>
      <w:r>
        <w:drawing>
          <wp:inline>
            <wp:extent cx="5334000" cy="2750343"/>
            <wp:effectExtent b="0" l="0" r="0" t="0"/>
            <wp:docPr descr="Рис. 3: Код программы" title="" id="32" name="Picture"/>
            <a:graphic>
              <a:graphicData uri="http://schemas.openxmlformats.org/drawingml/2006/picture">
                <pic:pic>
                  <pic:nvPicPr>
                    <pic:cNvPr descr="image/lab-05-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Код программы</w:t>
      </w:r>
    </w:p>
    <w:p>
      <w:pPr>
        <w:pStyle w:val="CaptionedFigure"/>
      </w:pPr>
      <w:bookmarkStart w:id="38" w:name="fig:004"/>
      <w:r>
        <w:drawing>
          <wp:inline>
            <wp:extent cx="5334000" cy="2750343"/>
            <wp:effectExtent b="0" l="0" r="0" t="0"/>
            <wp:docPr descr="Рис. 4: Вызов транслятора nasm" title="" id="36" name="Picture"/>
            <a:graphic>
              <a:graphicData uri="http://schemas.openxmlformats.org/drawingml/2006/picture">
                <pic:pic>
                  <pic:nvPicPr>
                    <pic:cNvPr descr="image/lab-05-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Вызов транслятора nasm</w:t>
      </w:r>
    </w:p>
    <w:p>
      <w:pPr>
        <w:pStyle w:val="CaptionedFigure"/>
      </w:pPr>
      <w:bookmarkStart w:id="42" w:name="fig:005"/>
      <w:r>
        <w:drawing>
          <wp:inline>
            <wp:extent cx="5334000" cy="2750343"/>
            <wp:effectExtent b="0" l="0" r="0" t="0"/>
            <wp:docPr descr="Рис. 5: Nasm с различными ключами" title="" id="40" name="Picture"/>
            <a:graphic>
              <a:graphicData uri="http://schemas.openxmlformats.org/drawingml/2006/picture">
                <pic:pic>
                  <pic:nvPicPr>
                    <pic:cNvPr descr="image/lab-05-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Nasm с различными ключами</w:t>
      </w:r>
    </w:p>
    <w:p>
      <w:pPr>
        <w:pStyle w:val="CaptionedFigure"/>
      </w:pPr>
      <w:bookmarkStart w:id="46" w:name="fig:006"/>
      <w:r>
        <w:drawing>
          <wp:inline>
            <wp:extent cx="5334000" cy="2750343"/>
            <wp:effectExtent b="0" l="0" r="0" t="0"/>
            <wp:docPr descr="Рис. 6: Компоновка" title="" id="44" name="Picture"/>
            <a:graphic>
              <a:graphicData uri="http://schemas.openxmlformats.org/drawingml/2006/picture">
                <pic:pic>
                  <pic:nvPicPr>
                    <pic:cNvPr descr="image/lab-05-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Компоновка</w:t>
      </w:r>
    </w:p>
    <w:p>
      <w:pPr>
        <w:pStyle w:val="CaptionedFigure"/>
      </w:pPr>
      <w:bookmarkStart w:id="50" w:name="fig:007"/>
      <w:r>
        <w:drawing>
          <wp:inline>
            <wp:extent cx="5334000" cy="2750343"/>
            <wp:effectExtent b="0" l="0" r="0" t="0"/>
            <wp:docPr descr="Рис. 7: Задание другого имени" title="" id="48" name="Picture"/>
            <a:graphic>
              <a:graphicData uri="http://schemas.openxmlformats.org/drawingml/2006/picture">
                <pic:pic>
                  <pic:nvPicPr>
                    <pic:cNvPr descr="image/lab-05-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Задание другого имени</w:t>
      </w:r>
    </w:p>
    <w:p>
      <w:pPr>
        <w:pStyle w:val="CaptionedFigure"/>
      </w:pPr>
      <w:bookmarkStart w:id="54" w:name="fig:008"/>
      <w:r>
        <w:drawing>
          <wp:inline>
            <wp:extent cx="5334000" cy="2750343"/>
            <wp:effectExtent b="0" l="0" r="0" t="0"/>
            <wp:docPr descr="Рис. 8: Выполнение программы" title="" id="52" name="Picture"/>
            <a:graphic>
              <a:graphicData uri="http://schemas.openxmlformats.org/drawingml/2006/picture">
                <pic:pic>
                  <pic:nvPicPr>
                    <pic:cNvPr descr="image/lab-05-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Выполнение программы</w:t>
      </w:r>
    </w:p>
    <w:bookmarkEnd w:id="55"/>
    <w:bookmarkStart w:id="68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Изменяем код програмы в копии файла (рис. 9). Транслируем, компонуем и проверяем, что программа выполняется корректно (рис. 10). Копируем файлы в папку лаб. работы (рис. 11).</w:t>
      </w:r>
      <w:r>
        <w:t xml:space="preserve"> </w:t>
      </w:r>
      <w:r>
        <w:t xml:space="preserve">После заполнения отчета загружаем файлы на github.</w:t>
      </w:r>
    </w:p>
    <w:p>
      <w:pPr>
        <w:pStyle w:val="CaptionedFigure"/>
      </w:pPr>
      <w:bookmarkStart w:id="59" w:name="fig:009"/>
      <w:r>
        <w:drawing>
          <wp:inline>
            <wp:extent cx="5334000" cy="2750343"/>
            <wp:effectExtent b="0" l="0" r="0" t="0"/>
            <wp:docPr descr="Рис. 9: Измененный код" title="" id="57" name="Picture"/>
            <a:graphic>
              <a:graphicData uri="http://schemas.openxmlformats.org/drawingml/2006/picture">
                <pic:pic>
                  <pic:nvPicPr>
                    <pic:cNvPr descr="image/lab-05-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Измененный код</w:t>
      </w:r>
    </w:p>
    <w:p>
      <w:pPr>
        <w:pStyle w:val="CaptionedFigure"/>
      </w:pPr>
      <w:bookmarkStart w:id="63" w:name="fig:010"/>
      <w:r>
        <w:drawing>
          <wp:inline>
            <wp:extent cx="5334000" cy="2750343"/>
            <wp:effectExtent b="0" l="0" r="0" t="0"/>
            <wp:docPr descr="Рис. 10: Выполнение программы" title="" id="61" name="Picture"/>
            <a:graphic>
              <a:graphicData uri="http://schemas.openxmlformats.org/drawingml/2006/picture">
                <pic:pic>
                  <pic:nvPicPr>
                    <pic:cNvPr descr="image/lab-05-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Выполнение программы</w:t>
      </w:r>
    </w:p>
    <w:p>
      <w:pPr>
        <w:pStyle w:val="CaptionedFigure"/>
      </w:pPr>
      <w:bookmarkStart w:id="67" w:name="fig:011"/>
      <w:r>
        <w:drawing>
          <wp:inline>
            <wp:extent cx="5334000" cy="2750343"/>
            <wp:effectExtent b="0" l="0" r="0" t="0"/>
            <wp:docPr descr="Рис. 11: Копирование файлов" title="" id="65" name="Picture"/>
            <a:graphic>
              <a:graphicData uri="http://schemas.openxmlformats.org/drawingml/2006/picture">
                <pic:pic>
                  <pic:nvPicPr>
                    <pic:cNvPr descr="image/lab-05-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Копирование файлов</w:t>
      </w:r>
    </w:p>
    <w:bookmarkEnd w:id="68"/>
    <w:bookmarkStart w:id="69" w:name="ответы-на-вопросы-для-самопроверки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вопросы для самопроверки</w:t>
      </w:r>
    </w:p>
    <w:p>
      <w:pPr>
        <w:numPr>
          <w:ilvl w:val="0"/>
          <w:numId w:val="1002"/>
        </w:numPr>
      </w:pPr>
      <w:r>
        <w:t xml:space="preserve">Язык уровня ассемблера: язык низкого уровня, который позволяет пользователям писать программы, используя буквенно-цифровые мнемонические коды вместо числового кода для набора инструкций.</w:t>
      </w:r>
      <w:r>
        <w:br/>
      </w:r>
      <w:r>
        <w:t xml:space="preserve">Язык высокого уровня: машинно-независимый язык. Он позволяет пользователю писать программы на языке, который напоминает английские слова и знакомые математические символы. Примерами языков высокого уровня являются python, c# и др.</w:t>
      </w:r>
      <w:r>
        <w:br/>
      </w:r>
      <w:r>
        <w:t xml:space="preserve">Язык ассемблера (assembly language, сокращенно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 таких как C/C++, Perl, Python и пр. Заметим, что получить полный доступ к ресурсам компьютера в современных архитектурах нельзя, самым низким уровнем работы прикладной программы является обращение напрямую к ядру операционной системы. Именно на этом уровне и работают программы, написанные на ассемблере. Но в отличие от языков высокого уровня ассемблерная программа содержит только тот код, который ввел программист. Таким образом язык ассемблера — это язык, с помощью которого понятным для человека образом пишутся команды для процессора.</w:t>
      </w:r>
    </w:p>
    <w:p>
      <w:pPr>
        <w:numPr>
          <w:ilvl w:val="0"/>
          <w:numId w:val="1002"/>
        </w:numPr>
      </w:pPr>
      <w:r>
        <w:t xml:space="preserve">Программа на языке ассемблера также может содержать директивы — инструкции, не переводящиеся непосредственно в машинные команды, а управляющие работой транслятора. Например, директивы используются для определения данных (констант и переменных) и обычно пишутся большими буквами.</w:t>
      </w:r>
    </w:p>
    <w:p>
      <w:pPr>
        <w:numPr>
          <w:ilvl w:val="0"/>
          <w:numId w:val="1002"/>
        </w:numPr>
      </w:pPr>
      <w:r>
        <w:t xml:space="preserve">Правила оформления ассемблерных программ</w:t>
      </w:r>
      <w:r>
        <w:t xml:space="preserve"> </w:t>
      </w:r>
      <w:r>
        <w:t xml:space="preserve">При наборе программ на языке ассемблера придерживайтесь следующих правил:</w:t>
      </w:r>
    </w:p>
    <w:p>
      <w:pPr>
        <w:numPr>
          <w:ilvl w:val="0"/>
          <w:numId w:val="1003"/>
        </w:numPr>
        <w:pStyle w:val="Compact"/>
      </w:pPr>
      <w:r>
        <w:t xml:space="preserve">директивы набираются большими буквами, инструкции – малыми;</w:t>
      </w:r>
    </w:p>
    <w:p>
      <w:pPr>
        <w:numPr>
          <w:ilvl w:val="0"/>
          <w:numId w:val="1003"/>
        </w:numPr>
        <w:pStyle w:val="Compact"/>
      </w:pPr>
      <w:r>
        <w:t xml:space="preserve">текст пишется широко;</w:t>
      </w:r>
    </w:p>
    <w:p>
      <w:pPr>
        <w:numPr>
          <w:ilvl w:val="0"/>
          <w:numId w:val="1003"/>
        </w:numPr>
        <w:pStyle w:val="Compact"/>
      </w:pPr>
      <w:r>
        <w:t xml:space="preserve">не стоит выходить за край экрана – его неудобно будет редактировать и печатать;</w:t>
      </w:r>
    </w:p>
    <w:p>
      <w:pPr>
        <w:numPr>
          <w:ilvl w:val="0"/>
          <w:numId w:val="1003"/>
        </w:numPr>
        <w:pStyle w:val="Compact"/>
      </w:pPr>
      <w:r>
        <w:t xml:space="preserve">для отступов используется табуляция (клавиша TAB);</w:t>
      </w:r>
    </w:p>
    <w:p>
      <w:pPr>
        <w:numPr>
          <w:ilvl w:val="0"/>
          <w:numId w:val="1003"/>
        </w:numPr>
        <w:pStyle w:val="Compact"/>
      </w:pPr>
      <w:r>
        <w:t xml:space="preserve">блоки комментариев задаются с одинаковым отступом.</w:t>
      </w:r>
      <w:r>
        <w:t xml:space="preserve"> </w:t>
      </w:r>
      <w:r>
        <w:t xml:space="preserve">Оптимальной считается такая строка:</w:t>
      </w:r>
      <w:r>
        <w:t xml:space="preserve"> </w:t>
      </w:r>
      <w:r>
        <w:t xml:space="preserve">mov</w:t>
      </w:r>
      <w:r>
        <w:t xml:space="preserve">eax,</w:t>
      </w:r>
      <w:r>
        <w:t xml:space="preserve">ebx&lt;(1-3)TAB&gt;;</w:t>
      </w:r>
      <w:r>
        <w:t xml:space="preserve">текст комментария</w:t>
      </w:r>
      <w:r>
        <w:t xml:space="preserve"> </w:t>
      </w:r>
      <w:r>
        <w:t xml:space="preserve">Количество табуляций перед комментарием определяется длиной аргументов команды и может быть от 1 до 3.</w:t>
      </w:r>
    </w:p>
    <w:p>
      <w:pPr>
        <w:numPr>
          <w:ilvl w:val="0"/>
          <w:numId w:val="1004"/>
        </w:numPr>
      </w:pPr>
      <w:r>
        <w:t xml:space="preserve">Трансляция и компоновка.</w:t>
      </w:r>
    </w:p>
    <w:p>
      <w:pPr>
        <w:numPr>
          <w:ilvl w:val="0"/>
          <w:numId w:val="1004"/>
        </w:numPr>
      </w:pPr>
      <w:r>
        <w:t xml:space="preserve">Трансляция исходного текста программы состоит в преобразовании предложений исходного языка в коды машинных команд и выполняется с помощью транслятора с языка ассемблера (т. е. с помощью программы ассемблера).</w:t>
      </w:r>
    </w:p>
    <w:p>
      <w:pPr>
        <w:numPr>
          <w:ilvl w:val="0"/>
          <w:numId w:val="1004"/>
        </w:numPr>
      </w:pPr>
      <w:r>
        <w:t xml:space="preserve">Чтобы получить исполняемую программу, объектный файл необходимо передать на обработку компоновщику.</w:t>
      </w:r>
    </w:p>
    <w:p>
      <w:pPr>
        <w:numPr>
          <w:ilvl w:val="0"/>
          <w:numId w:val="1004"/>
        </w:numPr>
      </w:pPr>
      <w:r>
        <w:t xml:space="preserve">После того, как текст программы набран и записан на жесткий диск, необходимо произвести трансляцию программы. В процессе трансляции создается результирующий (объектный) файл, который представляет собой ту же программу, но в машинных кодах, предназначенную для записи в программную память микроконтроллера. Результирующий файл имеет расширение hex.</w:t>
      </w:r>
      <w:r>
        <w:t xml:space="preserve"> </w:t>
      </w:r>
      <w:r>
        <w:t xml:space="preserve">Кроме hex-файла транслятор создает еще несколько вспомогательных файлов. И главное, файл с расширением еер. Этот файл имеет точно такую же внутреннюю структуру, как файл hex. А содержит он информацию, предназначенную для записи в EEPROM. Такая информация появляется в том случае, когда в тексте программы переменным, размещенным в сегменте eeprom, присвоены начальные значения. В обоих случаях (hex и eep форматы) применяется так называемый НЕХ-формат, который практически является стандартом для записи результатов транслирования различных программ. Он поддерживается практически всеми трансляторами с любого языка программирования.</w:t>
      </w:r>
    </w:p>
    <w:p>
      <w:pPr>
        <w:numPr>
          <w:ilvl w:val="0"/>
          <w:numId w:val="1004"/>
        </w:numPr>
      </w:pPr>
      <w:r>
        <w:t xml:space="preserve">NASM поддерживает множество форматов выходных файлов, среди них:</w:t>
      </w:r>
    </w:p>
    <w:p>
      <w:pPr>
        <w:numPr>
          <w:ilvl w:val="0"/>
          <w:numId w:val="1005"/>
        </w:numPr>
        <w:pStyle w:val="Compact"/>
      </w:pPr>
      <w:r>
        <w:t xml:space="preserve">bin</w:t>
      </w:r>
    </w:p>
    <w:p>
      <w:pPr>
        <w:numPr>
          <w:ilvl w:val="0"/>
          <w:numId w:val="1005"/>
        </w:numPr>
        <w:pStyle w:val="Compact"/>
      </w:pPr>
      <w:r>
        <w:t xml:space="preserve">obj</w:t>
      </w:r>
    </w:p>
    <w:p>
      <w:pPr>
        <w:numPr>
          <w:ilvl w:val="0"/>
          <w:numId w:val="1005"/>
        </w:numPr>
        <w:pStyle w:val="Compact"/>
      </w:pPr>
      <w:r>
        <w:t xml:space="preserve">win32 и win64</w:t>
      </w:r>
    </w:p>
    <w:p>
      <w:pPr>
        <w:numPr>
          <w:ilvl w:val="0"/>
          <w:numId w:val="1005"/>
        </w:numPr>
        <w:pStyle w:val="Compact"/>
      </w:pPr>
      <w:r>
        <w:t xml:space="preserve">aout</w:t>
      </w:r>
    </w:p>
    <w:p>
      <w:pPr>
        <w:numPr>
          <w:ilvl w:val="0"/>
          <w:numId w:val="1005"/>
        </w:numPr>
        <w:pStyle w:val="Compact"/>
      </w:pPr>
      <w:r>
        <w:t xml:space="preserve">aoutb</w:t>
      </w:r>
    </w:p>
    <w:p>
      <w:pPr>
        <w:numPr>
          <w:ilvl w:val="0"/>
          <w:numId w:val="1005"/>
        </w:numPr>
        <w:pStyle w:val="Compact"/>
      </w:pPr>
      <w:r>
        <w:t xml:space="preserve">coff</w:t>
      </w:r>
    </w:p>
    <w:p>
      <w:pPr>
        <w:numPr>
          <w:ilvl w:val="0"/>
          <w:numId w:val="1005"/>
        </w:numPr>
        <w:pStyle w:val="Compact"/>
      </w:pPr>
      <w:r>
        <w:t xml:space="preserve">elf32 и elf64</w:t>
      </w:r>
      <w:r>
        <w:t xml:space="preserve"> </w:t>
      </w:r>
      <w:r>
        <w:t xml:space="preserve">Компоновщик ld не предполагает по умолчанию расширений для файлов. Но принято использовать следующие расширения:</w:t>
      </w:r>
    </w:p>
    <w:p>
      <w:pPr>
        <w:numPr>
          <w:ilvl w:val="0"/>
          <w:numId w:val="1005"/>
        </w:numPr>
        <w:pStyle w:val="Compact"/>
      </w:pPr>
      <w:r>
        <w:t xml:space="preserve">o для объектных файлов;</w:t>
      </w:r>
    </w:p>
    <w:p>
      <w:pPr>
        <w:numPr>
          <w:ilvl w:val="0"/>
          <w:numId w:val="1005"/>
        </w:numPr>
        <w:pStyle w:val="Compact"/>
      </w:pPr>
      <w:r>
        <w:t xml:space="preserve">без расширения для исполняемых файлов;</w:t>
      </w:r>
    </w:p>
    <w:p>
      <w:pPr>
        <w:numPr>
          <w:ilvl w:val="0"/>
          <w:numId w:val="1005"/>
        </w:numPr>
        <w:pStyle w:val="Compact"/>
      </w:pPr>
      <w:r>
        <w:t xml:space="preserve">map для файлов схемы программы;</w:t>
      </w:r>
    </w:p>
    <w:p>
      <w:pPr>
        <w:numPr>
          <w:ilvl w:val="0"/>
          <w:numId w:val="1005"/>
        </w:numPr>
        <w:pStyle w:val="Compact"/>
      </w:pPr>
      <w:r>
        <w:t xml:space="preserve">lib для библиотек.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освоены процедуры компиляции и сборки программ, написанных на ассемблере NASM.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Виктор Максимович Кадров</dc:creator>
  <dc:language>ru-RU</dc:language>
  <cp:keywords/>
  <dcterms:created xsi:type="dcterms:W3CDTF">2022-11-12T14:28:42Z</dcterms:created>
  <dcterms:modified xsi:type="dcterms:W3CDTF">2022-11-12T14:28:42Z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