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Hydra</w:t>
      </w:r>
      <w:r>
        <w:t xml:space="preserve"> </w:t>
      </w:r>
      <w:r>
        <w:t xml:space="preserve">для</w:t>
      </w:r>
      <w:r>
        <w:t xml:space="preserve"> </w:t>
      </w:r>
      <w:r>
        <w:t xml:space="preserve">брутфорса</w:t>
      </w:r>
    </w:p>
    <w:p>
      <w:pPr>
        <w:pStyle w:val="Author"/>
      </w:pPr>
      <w:r>
        <w:t xml:space="preserve">Кадров</w:t>
      </w:r>
      <w:r>
        <w:t xml:space="preserve"> </w:t>
      </w:r>
      <w:r>
        <w:t xml:space="preserve">Виктор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пользоваться утилитой Hydra.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Просмотр уязвимой формы</w:t>
      </w:r>
    </w:p>
    <w:p>
      <w:pPr>
        <w:pStyle w:val="Compact"/>
        <w:numPr>
          <w:ilvl w:val="0"/>
          <w:numId w:val="1001"/>
        </w:numPr>
      </w:pPr>
      <w:r>
        <w:t xml:space="preserve">Поиск словаря с паролями</w:t>
      </w:r>
    </w:p>
    <w:p>
      <w:pPr>
        <w:pStyle w:val="Compact"/>
        <w:numPr>
          <w:ilvl w:val="0"/>
          <w:numId w:val="1001"/>
        </w:numPr>
      </w:pPr>
      <w:r>
        <w:t xml:space="preserve">Использование Hydra</w:t>
      </w:r>
    </w:p>
    <w:p>
      <w:pPr>
        <w:pStyle w:val="Compact"/>
        <w:numPr>
          <w:ilvl w:val="0"/>
          <w:numId w:val="1001"/>
        </w:numPr>
      </w:pPr>
      <w:r>
        <w:t xml:space="preserve">Проверка результатов</w:t>
      </w:r>
    </w:p>
    <w:bookmarkEnd w:id="21"/>
    <w:bookmarkStart w:id="3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просмотр-уязвимой-форм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Просмотр уязвимой формы</w:t>
      </w:r>
    </w:p>
    <w:p>
      <w:pPr>
        <w:pStyle w:val="FirstParagraph"/>
      </w:pPr>
      <w:r>
        <w:t xml:space="preserve">Изучаем уязвимую веб-форму, чтобы узнать параметры запроса и передать в программу (рис. 1). Здесь мы узнаем, что выполняется GET-запрос с двумя параметрами. Также через консоль разработчика узнаем параметры cookie (ID сессии и уровень защищенности DVWA)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Уязвимая форма" title="" id="23" name="Picture"/>
            <a:graphic>
              <a:graphicData uri="http://schemas.openxmlformats.org/drawingml/2006/picture">
                <pic:pic>
                  <pic:nvPicPr>
                    <pic:cNvPr descr="image/pr-03-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Уязвимая форма</w:t>
      </w:r>
    </w:p>
    <w:bookmarkEnd w:id="25"/>
    <w:bookmarkStart w:id="29" w:name="поиск-словаря-с-паролям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Поиск словаря с паролями</w:t>
      </w:r>
    </w:p>
    <w:p>
      <w:pPr>
        <w:pStyle w:val="FirstParagraph"/>
      </w:pPr>
      <w:r>
        <w:t xml:space="preserve">Выбираем один из стандартных словарей и распаковываем его (рис. 2).</w:t>
      </w:r>
    </w:p>
    <w:p>
      <w:pPr>
        <w:pStyle w:val="CaptionedFigure"/>
      </w:pPr>
      <w:r>
        <w:drawing>
          <wp:inline>
            <wp:extent cx="5334000" cy="1061579"/>
            <wp:effectExtent b="0" l="0" r="0" t="0"/>
            <wp:docPr descr="Словарь" title="" id="27" name="Picture"/>
            <a:graphic>
              <a:graphicData uri="http://schemas.openxmlformats.org/drawingml/2006/picture">
                <pic:pic>
                  <pic:nvPicPr>
                    <pic:cNvPr descr="image/pr-03-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1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Словарь</w:t>
      </w:r>
    </w:p>
    <w:bookmarkEnd w:id="29"/>
    <w:bookmarkStart w:id="33" w:name="использование-hydr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Использование Hydra</w:t>
      </w:r>
    </w:p>
    <w:p>
      <w:pPr>
        <w:pStyle w:val="FirstParagraph"/>
      </w:pPr>
      <w:r>
        <w:t xml:space="preserve">Запускаем программу с нужными параметрами и после некоторого времени видим одну подходящую пару логин-пароль (рис. 3).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Hydra" title="" id="31" name="Picture"/>
            <a:graphic>
              <a:graphicData uri="http://schemas.openxmlformats.org/drawingml/2006/picture">
                <pic:pic>
                  <pic:nvPicPr>
                    <pic:cNvPr descr="image/pr-03-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Hydra</w:t>
      </w:r>
    </w:p>
    <w:bookmarkEnd w:id="33"/>
    <w:bookmarkStart w:id="37" w:name="проверка-результатов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Проверка результатов</w:t>
      </w:r>
    </w:p>
    <w:p>
      <w:pPr>
        <w:pStyle w:val="FirstParagraph"/>
      </w:pPr>
      <w:r>
        <w:t xml:space="preserve">Проверяем, что эта пара действительно подходит (рис. 4).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Проверка" title="" id="35" name="Picture"/>
            <a:graphic>
              <a:graphicData uri="http://schemas.openxmlformats.org/drawingml/2006/picture">
                <pic:pic>
                  <pic:nvPicPr>
                    <pic:cNvPr descr="image/pr-03-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</w:t>
      </w:r>
    </w:p>
    <w:bookmarkEnd w:id="37"/>
    <w:bookmarkEnd w:id="38"/>
    <w:bookmarkStart w:id="3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была изучена программа Hydra.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№3</dc:title>
  <dc:creator>Кадров Виктор Максимович</dc:creator>
  <dc:language>ru-RU</dc:language>
  <cp:keywords/>
  <dcterms:created xsi:type="dcterms:W3CDTF">2024-04-06T11:47:30Z</dcterms:created>
  <dcterms:modified xsi:type="dcterms:W3CDTF">2024-04-06T11:47:30Z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Использование Hydra для брутфорса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