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307B64" w14:textId="6ED4DC44" w:rsidR="000E09A1" w:rsidRDefault="000E09A1" w:rsidP="000E09A1">
      <w:pPr>
        <w:spacing w:line="480" w:lineRule="auto"/>
        <w:rPr>
          <w:rFonts w:ascii="Times New Roman" w:hAnsi="Times New Roman" w:cs="Times New Roman"/>
          <w:sz w:val="24"/>
          <w:szCs w:val="24"/>
        </w:rPr>
      </w:pPr>
      <w:r>
        <w:rPr>
          <w:rFonts w:ascii="Times New Roman" w:hAnsi="Times New Roman" w:cs="Times New Roman"/>
          <w:sz w:val="24"/>
          <w:szCs w:val="24"/>
        </w:rPr>
        <w:t>Visakh Madathil</w:t>
      </w:r>
    </w:p>
    <w:p w14:paraId="77130FA4" w14:textId="68F03E55" w:rsidR="000E09A1" w:rsidRDefault="000E09A1" w:rsidP="000E09A1">
      <w:pPr>
        <w:spacing w:line="480" w:lineRule="auto"/>
        <w:rPr>
          <w:rFonts w:ascii="Times New Roman" w:hAnsi="Times New Roman" w:cs="Times New Roman"/>
          <w:sz w:val="24"/>
          <w:szCs w:val="24"/>
        </w:rPr>
      </w:pPr>
      <w:r>
        <w:rPr>
          <w:rFonts w:ascii="Times New Roman" w:hAnsi="Times New Roman" w:cs="Times New Roman"/>
          <w:sz w:val="24"/>
          <w:szCs w:val="24"/>
        </w:rPr>
        <w:t>ECO 5358: International Macroeconomic Theory &amp; Policy</w:t>
      </w:r>
    </w:p>
    <w:p w14:paraId="1F413287" w14:textId="0789BAB4" w:rsidR="000E09A1" w:rsidRDefault="000E09A1" w:rsidP="000E09A1">
      <w:pPr>
        <w:spacing w:line="480" w:lineRule="auto"/>
        <w:rPr>
          <w:rFonts w:ascii="Times New Roman" w:hAnsi="Times New Roman" w:cs="Times New Roman"/>
          <w:sz w:val="24"/>
          <w:szCs w:val="24"/>
        </w:rPr>
      </w:pPr>
      <w:r>
        <w:rPr>
          <w:rFonts w:ascii="Times New Roman" w:hAnsi="Times New Roman" w:cs="Times New Roman"/>
          <w:sz w:val="24"/>
          <w:szCs w:val="24"/>
        </w:rPr>
        <w:t>Dr. Marcela Giraldo</w:t>
      </w:r>
    </w:p>
    <w:p w14:paraId="49CC472F" w14:textId="17668548" w:rsidR="00C04F07" w:rsidRDefault="00C04F07" w:rsidP="00C04F07">
      <w:pPr>
        <w:spacing w:line="480" w:lineRule="auto"/>
        <w:jc w:val="center"/>
        <w:rPr>
          <w:rFonts w:ascii="Times New Roman" w:hAnsi="Times New Roman" w:cs="Times New Roman"/>
          <w:sz w:val="24"/>
          <w:szCs w:val="24"/>
          <w:u w:val="single"/>
        </w:rPr>
      </w:pPr>
      <w:r>
        <w:rPr>
          <w:rFonts w:ascii="Times New Roman" w:hAnsi="Times New Roman" w:cs="Times New Roman"/>
          <w:sz w:val="24"/>
          <w:szCs w:val="24"/>
          <w:u w:val="single"/>
        </w:rPr>
        <w:t>1991 Indian Economic Crisis</w:t>
      </w:r>
    </w:p>
    <w:p w14:paraId="35E94740" w14:textId="03362283" w:rsidR="00C04F07" w:rsidRDefault="00C04F07" w:rsidP="00C04F07">
      <w:pPr>
        <w:spacing w:line="240" w:lineRule="auto"/>
        <w:jc w:val="center"/>
        <w:rPr>
          <w:rStyle w:val="textlayer--absolute"/>
          <w:rFonts w:ascii="Arial" w:hAnsi="Arial" w:cs="Arial"/>
        </w:rPr>
      </w:pPr>
      <w:r>
        <w:rPr>
          <w:noProof/>
        </w:rPr>
        <w:drawing>
          <wp:inline distT="0" distB="0" distL="0" distR="0" wp14:anchorId="3DF969C6" wp14:editId="245B9ABC">
            <wp:extent cx="4572000" cy="2743200"/>
            <wp:effectExtent l="0" t="0" r="0" b="0"/>
            <wp:docPr id="1" name="Chart 1">
              <a:extLst xmlns:a="http://schemas.openxmlformats.org/drawingml/2006/main">
                <a:ext uri="{FF2B5EF4-FFF2-40B4-BE49-F238E27FC236}">
                  <a16:creationId xmlns:a16="http://schemas.microsoft.com/office/drawing/2014/main" id="{14862B43-9B0A-486D-A2FE-91E0D80F889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r>
        <w:rPr>
          <w:rStyle w:val="textlayer--absolute"/>
          <w:rFonts w:ascii="Arial" w:hAnsi="Arial" w:cs="Arial"/>
        </w:rPr>
        <w:t xml:space="preserve"> </w:t>
      </w:r>
    </w:p>
    <w:p w14:paraId="755FFA3E" w14:textId="515FFE98" w:rsidR="00C04F07" w:rsidRDefault="00C04F07" w:rsidP="00C04F07">
      <w:pPr>
        <w:spacing w:line="240" w:lineRule="auto"/>
        <w:jc w:val="center"/>
        <w:rPr>
          <w:rFonts w:ascii="Times New Roman" w:hAnsi="Times New Roman" w:cs="Times New Roman"/>
          <w:color w:val="444444"/>
          <w:sz w:val="16"/>
          <w:szCs w:val="16"/>
        </w:rPr>
      </w:pPr>
      <w:r w:rsidRPr="00C04F07">
        <w:rPr>
          <w:rFonts w:ascii="Times New Roman" w:hAnsi="Times New Roman" w:cs="Times New Roman"/>
          <w:color w:val="444444"/>
          <w:sz w:val="16"/>
          <w:szCs w:val="16"/>
        </w:rPr>
        <w:t>Source: Board of Governors of the Federal Reserve System (US)</w:t>
      </w:r>
    </w:p>
    <w:p w14:paraId="6CB99856" w14:textId="5A87E96A" w:rsidR="00AE4913" w:rsidRPr="00AE4913" w:rsidRDefault="00EA3D32" w:rsidP="00AE4913">
      <w:pPr>
        <w:spacing w:line="240" w:lineRule="auto"/>
        <w:jc w:val="center"/>
        <w:rPr>
          <w:rStyle w:val="textlayer--absolute"/>
          <w:rFonts w:ascii="Times New Roman" w:hAnsi="Times New Roman" w:cs="Times New Roman"/>
          <w:color w:val="444444"/>
          <w:sz w:val="16"/>
          <w:szCs w:val="16"/>
        </w:rPr>
      </w:pPr>
      <w:r>
        <w:rPr>
          <w:rStyle w:val="textlayer--absolute"/>
          <w:rFonts w:ascii="Times New Roman" w:hAnsi="Times New Roman" w:cs="Times New Roman"/>
          <w:sz w:val="24"/>
          <w:szCs w:val="24"/>
        </w:rPr>
        <w:t>Figure 1</w:t>
      </w:r>
    </w:p>
    <w:p w14:paraId="5982B79F" w14:textId="1F5D54B8" w:rsidR="009B5C27" w:rsidRDefault="00C04F07" w:rsidP="00C04F07">
      <w:pPr>
        <w:spacing w:line="480" w:lineRule="auto"/>
        <w:rPr>
          <w:rStyle w:val="textlayer--absolute"/>
          <w:rFonts w:ascii="Times New Roman" w:hAnsi="Times New Roman" w:cs="Times New Roman"/>
          <w:sz w:val="24"/>
          <w:szCs w:val="24"/>
        </w:rPr>
      </w:pPr>
      <w:r w:rsidRPr="009B5C27">
        <w:rPr>
          <w:rStyle w:val="textlayer--absolute"/>
          <w:rFonts w:ascii="Times New Roman" w:hAnsi="Times New Roman" w:cs="Times New Roman"/>
          <w:sz w:val="24"/>
          <w:szCs w:val="24"/>
        </w:rPr>
        <w:t xml:space="preserve">In 1991, </w:t>
      </w:r>
      <w:r w:rsidR="009B5C27">
        <w:rPr>
          <w:rStyle w:val="textlayer--absolute"/>
          <w:rFonts w:ascii="Times New Roman" w:hAnsi="Times New Roman" w:cs="Times New Roman"/>
          <w:sz w:val="24"/>
          <w:szCs w:val="24"/>
        </w:rPr>
        <w:t>the Indian rupee exchange rate faced a severe adjustment</w:t>
      </w:r>
      <w:r w:rsidR="00AE4913">
        <w:rPr>
          <w:rStyle w:val="textlayer--absolute"/>
          <w:rFonts w:ascii="Times New Roman" w:hAnsi="Times New Roman" w:cs="Times New Roman"/>
          <w:sz w:val="24"/>
          <w:szCs w:val="24"/>
        </w:rPr>
        <w:t xml:space="preserve"> causing an economic crisis</w:t>
      </w:r>
      <w:r w:rsidR="009B5C27">
        <w:rPr>
          <w:rStyle w:val="textlayer--absolute"/>
          <w:rFonts w:ascii="Times New Roman" w:hAnsi="Times New Roman" w:cs="Times New Roman"/>
          <w:sz w:val="24"/>
          <w:szCs w:val="24"/>
        </w:rPr>
        <w:t>. For years India had been running a fiscal deficit and been reliant on foreign partners for vital resources</w:t>
      </w:r>
      <w:r w:rsidR="00EA3D32">
        <w:rPr>
          <w:rStyle w:val="FootnoteReference"/>
          <w:rFonts w:ascii="Times New Roman" w:hAnsi="Times New Roman" w:cs="Times New Roman"/>
          <w:sz w:val="24"/>
          <w:szCs w:val="24"/>
        </w:rPr>
        <w:footnoteReference w:id="1"/>
      </w:r>
      <w:r w:rsidR="009B5C27">
        <w:rPr>
          <w:rStyle w:val="textlayer--absolute"/>
          <w:rFonts w:ascii="Times New Roman" w:hAnsi="Times New Roman" w:cs="Times New Roman"/>
          <w:sz w:val="24"/>
          <w:szCs w:val="24"/>
        </w:rPr>
        <w:t>. When the 1990-1991 oil price shock occurred after Saddam Hussein-led Iraq invaded Kuwait, India found itself quickly running out of foreign exchange reserves</w:t>
      </w:r>
      <w:r w:rsidR="000F5A50">
        <w:rPr>
          <w:rStyle w:val="FootnoteReference"/>
          <w:rFonts w:ascii="Times New Roman" w:hAnsi="Times New Roman" w:cs="Times New Roman"/>
          <w:sz w:val="24"/>
          <w:szCs w:val="24"/>
        </w:rPr>
        <w:footnoteReference w:id="2"/>
      </w:r>
      <w:r w:rsidR="009B5C27">
        <w:rPr>
          <w:rStyle w:val="textlayer--absolute"/>
          <w:rFonts w:ascii="Times New Roman" w:hAnsi="Times New Roman" w:cs="Times New Roman"/>
          <w:sz w:val="24"/>
          <w:szCs w:val="24"/>
        </w:rPr>
        <w:t xml:space="preserve">. </w:t>
      </w:r>
    </w:p>
    <w:p w14:paraId="5313D8D2" w14:textId="13ED294E" w:rsidR="00C04F07" w:rsidRPr="00C04F07" w:rsidRDefault="009B5C27" w:rsidP="00C04F07">
      <w:pPr>
        <w:spacing w:line="480" w:lineRule="auto"/>
        <w:rPr>
          <w:rFonts w:ascii="Times New Roman" w:hAnsi="Times New Roman" w:cs="Times New Roman"/>
          <w:sz w:val="24"/>
          <w:szCs w:val="24"/>
        </w:rPr>
      </w:pPr>
      <w:r>
        <w:rPr>
          <w:rStyle w:val="textlayer--absolute"/>
          <w:rFonts w:ascii="Times New Roman" w:hAnsi="Times New Roman" w:cs="Times New Roman"/>
          <w:sz w:val="24"/>
          <w:szCs w:val="24"/>
        </w:rPr>
        <w:lastRenderedPageBreak/>
        <w:t xml:space="preserve">At the time, the India rupee’s exchange rate regime was </w:t>
      </w:r>
      <w:r w:rsidR="00EA3D32">
        <w:rPr>
          <w:rStyle w:val="textlayer--absolute"/>
          <w:rFonts w:ascii="Times New Roman" w:hAnsi="Times New Roman" w:cs="Times New Roman"/>
          <w:sz w:val="24"/>
          <w:szCs w:val="24"/>
        </w:rPr>
        <w:t>pegged to a basket of currencies. To combat against this crisis, the Reserve Bank of India first devalued the rupee in the summer of 1991 (as seen in Figure 1) and began the process of adopting a market determined exchange rate regime. By 199</w:t>
      </w:r>
      <w:r w:rsidR="000F5A50">
        <w:rPr>
          <w:rStyle w:val="textlayer--absolute"/>
          <w:rFonts w:ascii="Times New Roman" w:hAnsi="Times New Roman" w:cs="Times New Roman"/>
          <w:sz w:val="24"/>
          <w:szCs w:val="24"/>
        </w:rPr>
        <w:t>3</w:t>
      </w:r>
      <w:r w:rsidR="00EA3D32">
        <w:rPr>
          <w:rStyle w:val="textlayer--absolute"/>
          <w:rFonts w:ascii="Times New Roman" w:hAnsi="Times New Roman" w:cs="Times New Roman"/>
          <w:sz w:val="24"/>
          <w:szCs w:val="24"/>
        </w:rPr>
        <w:t>, the Indian rupee became a market determined currency</w:t>
      </w:r>
      <w:r w:rsidR="000B6112">
        <w:rPr>
          <w:rStyle w:val="FootnoteReference"/>
          <w:rFonts w:ascii="Times New Roman" w:hAnsi="Times New Roman" w:cs="Times New Roman"/>
          <w:sz w:val="24"/>
          <w:szCs w:val="24"/>
        </w:rPr>
        <w:footnoteReference w:id="3"/>
      </w:r>
      <w:r w:rsidR="00EA3D32">
        <w:rPr>
          <w:rStyle w:val="textlayer--absolute"/>
          <w:rFonts w:ascii="Times New Roman" w:hAnsi="Times New Roman" w:cs="Times New Roman"/>
          <w:sz w:val="24"/>
          <w:szCs w:val="24"/>
        </w:rPr>
        <w:t>.</w:t>
      </w:r>
    </w:p>
    <w:sectPr w:rsidR="00C04F07" w:rsidRPr="00C04F0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BC46CA" w14:textId="77777777" w:rsidR="002B40FB" w:rsidRDefault="002B40FB" w:rsidP="00EA3D32">
      <w:pPr>
        <w:spacing w:after="0" w:line="240" w:lineRule="auto"/>
      </w:pPr>
      <w:r>
        <w:separator/>
      </w:r>
    </w:p>
  </w:endnote>
  <w:endnote w:type="continuationSeparator" w:id="0">
    <w:p w14:paraId="24C2E860" w14:textId="77777777" w:rsidR="002B40FB" w:rsidRDefault="002B40FB" w:rsidP="00EA3D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38B76D" w14:textId="77777777" w:rsidR="002B40FB" w:rsidRDefault="002B40FB" w:rsidP="00EA3D32">
      <w:pPr>
        <w:spacing w:after="0" w:line="240" w:lineRule="auto"/>
      </w:pPr>
      <w:r>
        <w:separator/>
      </w:r>
    </w:p>
  </w:footnote>
  <w:footnote w:type="continuationSeparator" w:id="0">
    <w:p w14:paraId="1D498AEB" w14:textId="77777777" w:rsidR="002B40FB" w:rsidRDefault="002B40FB" w:rsidP="00EA3D32">
      <w:pPr>
        <w:spacing w:after="0" w:line="240" w:lineRule="auto"/>
      </w:pPr>
      <w:r>
        <w:continuationSeparator/>
      </w:r>
    </w:p>
  </w:footnote>
  <w:footnote w:id="1">
    <w:p w14:paraId="588E2369" w14:textId="424CFE80" w:rsidR="00EA3D32" w:rsidRPr="000B6112" w:rsidRDefault="00EA3D32" w:rsidP="000F5A50">
      <w:pPr>
        <w:rPr>
          <w:rFonts w:ascii="Times New Roman" w:eastAsia="Times New Roman" w:hAnsi="Times New Roman" w:cs="Times New Roman"/>
          <w:sz w:val="24"/>
          <w:szCs w:val="24"/>
        </w:rPr>
      </w:pPr>
      <w:r w:rsidRPr="000F5A50">
        <w:rPr>
          <w:rStyle w:val="FootnoteReference"/>
          <w:rFonts w:ascii="Times New Roman" w:hAnsi="Times New Roman" w:cs="Times New Roman"/>
          <w:sz w:val="24"/>
          <w:szCs w:val="24"/>
        </w:rPr>
        <w:footnoteRef/>
      </w:r>
      <w:r w:rsidRPr="000F5A50">
        <w:rPr>
          <w:rFonts w:ascii="Times New Roman" w:hAnsi="Times New Roman" w:cs="Times New Roman"/>
          <w:sz w:val="24"/>
          <w:szCs w:val="24"/>
        </w:rPr>
        <w:t xml:space="preserve"> </w:t>
      </w:r>
      <w:r w:rsidR="000F5A50" w:rsidRPr="000F5A50">
        <w:rPr>
          <w:rFonts w:ascii="Times New Roman" w:hAnsi="Times New Roman" w:cs="Times New Roman"/>
          <w:sz w:val="24"/>
          <w:szCs w:val="24"/>
        </w:rPr>
        <w:t>World Bank</w:t>
      </w:r>
      <w:r w:rsidR="000F5A50" w:rsidRPr="000B6112">
        <w:rPr>
          <w:rFonts w:ascii="Times New Roman" w:eastAsia="Times New Roman" w:hAnsi="Times New Roman" w:cs="Times New Roman"/>
          <w:sz w:val="24"/>
          <w:szCs w:val="24"/>
        </w:rPr>
        <w:t xml:space="preserve">, </w:t>
      </w:r>
      <w:hyperlink r:id="rId1" w:history="1">
        <w:r w:rsidR="000F5A50" w:rsidRPr="000B6112">
          <w:rPr>
            <w:rFonts w:ascii="Times New Roman" w:eastAsia="Times New Roman" w:hAnsi="Times New Roman" w:cs="Times New Roman"/>
            <w:sz w:val="24"/>
            <w:szCs w:val="24"/>
          </w:rPr>
          <w:t xml:space="preserve">"India - Structural Adjustment Credit Project (English) - Presidents </w:t>
        </w:r>
        <w:r w:rsidR="000B6112">
          <w:rPr>
            <w:rFonts w:ascii="Times New Roman" w:eastAsia="Times New Roman" w:hAnsi="Times New Roman" w:cs="Times New Roman"/>
            <w:sz w:val="24"/>
            <w:szCs w:val="24"/>
          </w:rPr>
          <w:t>R</w:t>
        </w:r>
        <w:r w:rsidR="000F5A50" w:rsidRPr="000B6112">
          <w:rPr>
            <w:rFonts w:ascii="Times New Roman" w:eastAsia="Times New Roman" w:hAnsi="Times New Roman" w:cs="Times New Roman"/>
            <w:sz w:val="24"/>
            <w:szCs w:val="24"/>
          </w:rPr>
          <w:t>eport"</w:t>
        </w:r>
      </w:hyperlink>
      <w:r w:rsidR="000F5A50" w:rsidRPr="000B6112">
        <w:rPr>
          <w:rFonts w:ascii="Times New Roman" w:eastAsia="Times New Roman" w:hAnsi="Times New Roman" w:cs="Times New Roman"/>
          <w:i/>
          <w:iCs/>
          <w:sz w:val="24"/>
          <w:szCs w:val="24"/>
        </w:rPr>
        <w:t xml:space="preserve">. </w:t>
      </w:r>
      <w:r w:rsidR="000F5A50" w:rsidRPr="000B6112">
        <w:rPr>
          <w:rFonts w:ascii="Times New Roman" w:eastAsia="Times New Roman" w:hAnsi="Times New Roman" w:cs="Times New Roman"/>
          <w:sz w:val="24"/>
          <w:szCs w:val="24"/>
        </w:rPr>
        <w:t>documents.worldbank.org</w:t>
      </w:r>
    </w:p>
  </w:footnote>
  <w:footnote w:id="2">
    <w:p w14:paraId="0D067B98" w14:textId="77777777" w:rsidR="000F5A50" w:rsidRPr="00EA3D32" w:rsidRDefault="000F5A50" w:rsidP="000F5A50">
      <w:pPr>
        <w:rPr>
          <w:rFonts w:ascii="Times New Roman" w:eastAsia="Times New Roman" w:hAnsi="Times New Roman" w:cs="Times New Roman"/>
          <w:sz w:val="24"/>
          <w:szCs w:val="24"/>
        </w:rPr>
      </w:pPr>
      <w:r w:rsidRPr="000F5A50">
        <w:rPr>
          <w:rStyle w:val="FootnoteReference"/>
          <w:rFonts w:ascii="Times New Roman" w:hAnsi="Times New Roman" w:cs="Times New Roman"/>
        </w:rPr>
        <w:footnoteRef/>
      </w:r>
      <w:r>
        <w:t xml:space="preserve"> </w:t>
      </w:r>
      <w:r w:rsidRPr="00EA3D32">
        <w:rPr>
          <w:rFonts w:ascii="Times New Roman" w:eastAsia="Times New Roman" w:hAnsi="Times New Roman" w:cs="Times New Roman"/>
          <w:sz w:val="24"/>
          <w:szCs w:val="24"/>
        </w:rPr>
        <w:t>Cerra, Valerie and Saxena, Sweta Chaman, What Caused the 1991 Currency Crisis in India?</w:t>
      </w:r>
      <w:r>
        <w:rPr>
          <w:rFonts w:ascii="Times New Roman" w:eastAsia="Times New Roman" w:hAnsi="Times New Roman" w:cs="Times New Roman"/>
          <w:sz w:val="24"/>
          <w:szCs w:val="24"/>
        </w:rPr>
        <w:t xml:space="preserve"> </w:t>
      </w:r>
      <w:r w:rsidRPr="00EA3D32">
        <w:rPr>
          <w:rFonts w:ascii="Times New Roman" w:eastAsia="Times New Roman" w:hAnsi="Times New Roman" w:cs="Times New Roman"/>
          <w:sz w:val="24"/>
          <w:szCs w:val="24"/>
        </w:rPr>
        <w:t xml:space="preserve">IMF Staff Papers, Vol. 49, No. 3, pp. 395-425, 2002 </w:t>
      </w:r>
    </w:p>
    <w:p w14:paraId="4CC02234" w14:textId="77777777" w:rsidR="000F5A50" w:rsidRDefault="000F5A50" w:rsidP="000F5A50">
      <w:pPr>
        <w:pStyle w:val="FootnoteText"/>
      </w:pPr>
    </w:p>
  </w:footnote>
  <w:footnote w:id="3">
    <w:p w14:paraId="0C564239" w14:textId="6E88EB75" w:rsidR="000B6112" w:rsidRDefault="000B6112">
      <w:pPr>
        <w:pStyle w:val="FootnoteText"/>
      </w:pPr>
      <w:r>
        <w:rPr>
          <w:rStyle w:val="FootnoteReference"/>
        </w:rPr>
        <w:footnoteRef/>
      </w:r>
      <w:r>
        <w:t xml:space="preserve"> </w:t>
      </w:r>
      <w:r w:rsidRPr="000B6112">
        <w:rPr>
          <w:rFonts w:ascii="Times New Roman" w:eastAsia="Times New Roman" w:hAnsi="Times New Roman" w:cs="Times New Roman"/>
          <w:sz w:val="24"/>
          <w:szCs w:val="24"/>
        </w:rPr>
        <w:t>Ila Patnaik. “Indian Currency Regime and Its Consequences.” Economic and Political Weekly</w:t>
      </w:r>
      <w:r w:rsidRPr="000B6112">
        <w:rPr>
          <w:rFonts w:ascii="Times New Roman" w:eastAsia="Times New Roman" w:hAnsi="Times New Roman" w:cs="Times New Roman"/>
          <w:sz w:val="24"/>
          <w:szCs w:val="24"/>
        </w:rPr>
        <w:t xml:space="preserve"> </w:t>
      </w:r>
      <w:r w:rsidRPr="000B6112">
        <w:rPr>
          <w:rFonts w:ascii="Times New Roman" w:eastAsia="Times New Roman" w:hAnsi="Times New Roman" w:cs="Times New Roman"/>
          <w:sz w:val="24"/>
          <w:szCs w:val="24"/>
        </w:rPr>
        <w:t>vol. 42, no. 11, pp. 911–913</w:t>
      </w:r>
      <w:r w:rsidRPr="000B6112">
        <w:rPr>
          <w:rFonts w:ascii="Times New Roman" w:eastAsia="Times New Roman" w:hAnsi="Times New Roman" w:cs="Times New Roman"/>
          <w:sz w:val="24"/>
          <w:szCs w:val="24"/>
        </w:rPr>
        <w:t xml:space="preserve">, </w:t>
      </w:r>
      <w:r w:rsidRPr="000B6112">
        <w:rPr>
          <w:rFonts w:ascii="Times New Roman" w:eastAsia="Times New Roman" w:hAnsi="Times New Roman" w:cs="Times New Roman"/>
          <w:sz w:val="24"/>
          <w:szCs w:val="24"/>
        </w:rPr>
        <w:t xml:space="preserve">2007.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09A1"/>
    <w:rsid w:val="000B6112"/>
    <w:rsid w:val="000E09A1"/>
    <w:rsid w:val="000F5A50"/>
    <w:rsid w:val="002B40FB"/>
    <w:rsid w:val="009B5C27"/>
    <w:rsid w:val="00AE4913"/>
    <w:rsid w:val="00C04F07"/>
    <w:rsid w:val="00EA3D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CAF4AF"/>
  <w15:chartTrackingRefBased/>
  <w15:docId w15:val="{31F7D547-1CFE-4C8F-88FE-239B86EC9C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5A5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layer--absolute">
    <w:name w:val="textlayer--absolute"/>
    <w:basedOn w:val="DefaultParagraphFont"/>
    <w:rsid w:val="00C04F07"/>
  </w:style>
  <w:style w:type="paragraph" w:styleId="FootnoteText">
    <w:name w:val="footnote text"/>
    <w:basedOn w:val="Normal"/>
    <w:link w:val="FootnoteTextChar"/>
    <w:uiPriority w:val="99"/>
    <w:semiHidden/>
    <w:unhideWhenUsed/>
    <w:rsid w:val="00EA3D3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A3D32"/>
    <w:rPr>
      <w:sz w:val="20"/>
      <w:szCs w:val="20"/>
    </w:rPr>
  </w:style>
  <w:style w:type="character" w:styleId="FootnoteReference">
    <w:name w:val="footnote reference"/>
    <w:basedOn w:val="DefaultParagraphFont"/>
    <w:uiPriority w:val="99"/>
    <w:semiHidden/>
    <w:unhideWhenUsed/>
    <w:rsid w:val="00EA3D32"/>
    <w:rPr>
      <w:vertAlign w:val="superscript"/>
    </w:rPr>
  </w:style>
  <w:style w:type="character" w:styleId="Hyperlink">
    <w:name w:val="Hyperlink"/>
    <w:basedOn w:val="DefaultParagraphFont"/>
    <w:uiPriority w:val="99"/>
    <w:semiHidden/>
    <w:unhideWhenUsed/>
    <w:rsid w:val="00EA3D32"/>
    <w:rPr>
      <w:color w:val="0000FF"/>
      <w:u w:val="single"/>
    </w:rPr>
  </w:style>
  <w:style w:type="character" w:styleId="HTMLCite">
    <w:name w:val="HTML Cite"/>
    <w:basedOn w:val="DefaultParagraphFont"/>
    <w:uiPriority w:val="99"/>
    <w:semiHidden/>
    <w:unhideWhenUsed/>
    <w:rsid w:val="000F5A50"/>
    <w:rPr>
      <w:i/>
      <w:iCs/>
    </w:rPr>
  </w:style>
  <w:style w:type="character" w:customStyle="1" w:styleId="reference-accessdate">
    <w:name w:val="reference-accessdate"/>
    <w:basedOn w:val="DefaultParagraphFont"/>
    <w:rsid w:val="000F5A50"/>
  </w:style>
  <w:style w:type="paragraph" w:styleId="EndnoteText">
    <w:name w:val="endnote text"/>
    <w:basedOn w:val="Normal"/>
    <w:link w:val="EndnoteTextChar"/>
    <w:uiPriority w:val="99"/>
    <w:semiHidden/>
    <w:unhideWhenUsed/>
    <w:rsid w:val="000B611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B6112"/>
    <w:rPr>
      <w:sz w:val="20"/>
      <w:szCs w:val="20"/>
    </w:rPr>
  </w:style>
  <w:style w:type="character" w:styleId="EndnoteReference">
    <w:name w:val="endnote reference"/>
    <w:basedOn w:val="DefaultParagraphFont"/>
    <w:uiPriority w:val="99"/>
    <w:semiHidden/>
    <w:unhideWhenUsed/>
    <w:rsid w:val="000B611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2250410">
      <w:bodyDiv w:val="1"/>
      <w:marLeft w:val="0"/>
      <w:marRight w:val="0"/>
      <w:marTop w:val="0"/>
      <w:marBottom w:val="0"/>
      <w:divBdr>
        <w:top w:val="none" w:sz="0" w:space="0" w:color="auto"/>
        <w:left w:val="none" w:sz="0" w:space="0" w:color="auto"/>
        <w:bottom w:val="none" w:sz="0" w:space="0" w:color="auto"/>
        <w:right w:val="none" w:sz="0" w:space="0" w:color="auto"/>
      </w:divBdr>
      <w:divsChild>
        <w:div w:id="7231370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documents.worldbank.org/curated/en/999451468260069468/India-Structural-Adjustment-Credit-Project"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madat\AppData\Local\Temp\DEXINUS.xls"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latin typeface="Times New Roman" panose="02020603050405020304" pitchFamily="18" charset="0"/>
                <a:cs typeface="Times New Roman" panose="02020603050405020304" pitchFamily="18" charset="0"/>
              </a:rPr>
              <a:t>Yearly Average of Indian Rupees to U.S. Dollar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lineChart>
        <c:grouping val="standard"/>
        <c:varyColors val="0"/>
        <c:ser>
          <c:idx val="0"/>
          <c:order val="0"/>
          <c:tx>
            <c:strRef>
              <c:f>'FRED Graph'!$B$11</c:f>
              <c:strCache>
                <c:ptCount val="1"/>
                <c:pt idx="0">
                  <c:v>Indian Rupees to U.S. Dollar</c:v>
                </c:pt>
              </c:strCache>
            </c:strRef>
          </c:tx>
          <c:spPr>
            <a:ln w="28575" cap="rnd">
              <a:solidFill>
                <a:schemeClr val="accent1"/>
              </a:solidFill>
              <a:round/>
            </a:ln>
            <a:effectLst/>
          </c:spPr>
          <c:marker>
            <c:symbol val="none"/>
          </c:marker>
          <c:cat>
            <c:numRef>
              <c:f>'FRED Graph'!$A$12:$A$22</c:f>
              <c:numCache>
                <c:formatCode>yyyy\-mm\-dd</c:formatCode>
                <c:ptCount val="11"/>
                <c:pt idx="0">
                  <c:v>31413</c:v>
                </c:pt>
                <c:pt idx="1">
                  <c:v>31778</c:v>
                </c:pt>
                <c:pt idx="2">
                  <c:v>32143</c:v>
                </c:pt>
                <c:pt idx="3">
                  <c:v>32509</c:v>
                </c:pt>
                <c:pt idx="4">
                  <c:v>32874</c:v>
                </c:pt>
                <c:pt idx="5">
                  <c:v>33239</c:v>
                </c:pt>
                <c:pt idx="6">
                  <c:v>33604</c:v>
                </c:pt>
                <c:pt idx="7">
                  <c:v>33970</c:v>
                </c:pt>
                <c:pt idx="8">
                  <c:v>34335</c:v>
                </c:pt>
                <c:pt idx="9">
                  <c:v>34700</c:v>
                </c:pt>
                <c:pt idx="10">
                  <c:v>35065</c:v>
                </c:pt>
              </c:numCache>
            </c:numRef>
          </c:cat>
          <c:val>
            <c:numRef>
              <c:f>'FRED Graph'!$B$12:$B$22</c:f>
              <c:numCache>
                <c:formatCode>0.00</c:formatCode>
                <c:ptCount val="11"/>
                <c:pt idx="0">
                  <c:v>12.596733067729083</c:v>
                </c:pt>
                <c:pt idx="1">
                  <c:v>12.946865079365079</c:v>
                </c:pt>
                <c:pt idx="2">
                  <c:v>13.899521912350597</c:v>
                </c:pt>
                <c:pt idx="3">
                  <c:v>16.213107569721114</c:v>
                </c:pt>
                <c:pt idx="4">
                  <c:v>17.492208835341366</c:v>
                </c:pt>
                <c:pt idx="5">
                  <c:v>22.711646586345381</c:v>
                </c:pt>
                <c:pt idx="6">
                  <c:v>28.155816733067731</c:v>
                </c:pt>
                <c:pt idx="7">
                  <c:v>31.291075697211156</c:v>
                </c:pt>
                <c:pt idx="8">
                  <c:v>31.393854581673306</c:v>
                </c:pt>
                <c:pt idx="9">
                  <c:v>32.418073705179282</c:v>
                </c:pt>
                <c:pt idx="10">
                  <c:v>35.505996031746029</c:v>
                </c:pt>
              </c:numCache>
            </c:numRef>
          </c:val>
          <c:smooth val="0"/>
          <c:extLst>
            <c:ext xmlns:c16="http://schemas.microsoft.com/office/drawing/2014/chart" uri="{C3380CC4-5D6E-409C-BE32-E72D297353CC}">
              <c16:uniqueId val="{00000000-A660-491D-B2F0-DC09497AC549}"/>
            </c:ext>
          </c:extLst>
        </c:ser>
        <c:dLbls>
          <c:showLegendKey val="0"/>
          <c:showVal val="0"/>
          <c:showCatName val="0"/>
          <c:showSerName val="0"/>
          <c:showPercent val="0"/>
          <c:showBubbleSize val="0"/>
        </c:dLbls>
        <c:smooth val="0"/>
        <c:axId val="444999448"/>
        <c:axId val="444999776"/>
      </c:lineChart>
      <c:dateAx>
        <c:axId val="44499944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latin typeface="Times New Roman" panose="02020603050405020304" pitchFamily="18" charset="0"/>
                    <a:cs typeface="Times New Roman" panose="02020603050405020304" pitchFamily="18" charset="0"/>
                  </a:rPr>
                  <a:t>Year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yyyy" sourceLinked="0"/>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444999776"/>
        <c:crosses val="autoZero"/>
        <c:auto val="1"/>
        <c:lblOffset val="100"/>
        <c:baseTimeUnit val="years"/>
      </c:dateAx>
      <c:valAx>
        <c:axId val="444999776"/>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444999448"/>
        <c:crosses val="autoZero"/>
        <c:crossBetween val="between"/>
      </c:valAx>
      <c:spPr>
        <a:noFill/>
        <a:ln>
          <a:noFill/>
        </a:ln>
        <a:effectLst/>
      </c:spPr>
    </c:plotArea>
    <c:plotVisOnly val="1"/>
    <c:dispBlanksAs val="gap"/>
    <c:showDLblsOverMax val="0"/>
  </c:chart>
  <c:spPr>
    <a:solidFill>
      <a:schemeClr val="bg1">
        <a:lumMod val="95000"/>
      </a:schemeClr>
    </a:solidFill>
    <a:ln w="9525" cap="flat" cmpd="sng" algn="ctr">
      <a:solidFill>
        <a:schemeClr val="bg2">
          <a:lumMod val="90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CEBC37-DC20-4F20-AB7E-C7F488B3F0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2</Pages>
  <Words>136</Words>
  <Characters>776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Visakh Madathil</dc:creator>
  <cp:keywords/>
  <dc:description/>
  <cp:lastModifiedBy>Visakh Madathil</cp:lastModifiedBy>
  <cp:revision>5</cp:revision>
  <dcterms:created xsi:type="dcterms:W3CDTF">2021-09-03T03:17:00Z</dcterms:created>
  <dcterms:modified xsi:type="dcterms:W3CDTF">2021-09-03T04:00:00Z</dcterms:modified>
</cp:coreProperties>
</file>