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C76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"https://gid.caixa:9443/qm/web/console/SIGCX_Gerenciamento_de_Qualidade" \l "action=com.ibm.rqm.planning.home.actionDispatcher&amp;subAction=viewTestSuite&amp;id=74257"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HU22681973_PIX_Tagueamento_na_transacao_Pix_Assinatura_Simples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7FC669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"https://gid.caixa:9443/qm/web/console/SIGCX_Gerenciamento_de_Qualidade" \l "action=com.ibm.rqm.planning.home.actionDispatcher&amp;subAction=viewTestSuite&amp;id=74258"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HU22801777_PIX_Tagueamento_na_transacao_Pix_Assinatura_Multipla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8FA4C2D">
      <w:pPr>
        <w:rPr>
          <w:rFonts w:ascii="SimSun" w:hAnsi="SimSun" w:eastAsia="SimSun" w:cs="SimSun"/>
          <w:sz w:val="24"/>
          <w:szCs w:val="24"/>
        </w:rPr>
      </w:pPr>
    </w:p>
    <w:p w14:paraId="372E36DC">
      <w:pPr>
        <w:rPr>
          <w:rFonts w:hint="default" w:ascii="SimSun" w:hAnsi="SimSun" w:eastAsia="SimSun" w:cs="SimSun"/>
          <w:sz w:val="24"/>
          <w:szCs w:val="24"/>
          <w:lang w:val="pt-BR"/>
        </w:rPr>
      </w:pPr>
      <w:r>
        <w:rPr>
          <w:rFonts w:hint="default" w:ascii="SimSun" w:hAnsi="SimSun" w:eastAsia="SimSun" w:cs="SimSun"/>
          <w:sz w:val="24"/>
          <w:szCs w:val="24"/>
          <w:lang w:val="pt-BR"/>
        </w:rPr>
        <w:t>Ambas tratam o mesmo assunto que é tagueamento anti fraude TOPAZ OFD em operação de envio de Pix, assim como já ocorre hoje o tagueamento no fluxo de Login ao sistema SIGCX.</w:t>
      </w:r>
    </w:p>
    <w:p w14:paraId="33DC51D4">
      <w:pPr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7591AC8A">
      <w:pPr>
        <w:rPr>
          <w:rFonts w:hint="default" w:ascii="SimSun" w:hAnsi="SimSun" w:eastAsia="SimSun" w:cs="SimSun"/>
          <w:sz w:val="24"/>
          <w:szCs w:val="24"/>
          <w:lang w:val="pt-BR"/>
        </w:rPr>
      </w:pPr>
      <w:r>
        <w:rPr>
          <w:rFonts w:hint="default" w:ascii="SimSun" w:hAnsi="SimSun" w:eastAsia="SimSun" w:cs="SimSun"/>
          <w:sz w:val="24"/>
          <w:szCs w:val="24"/>
          <w:lang w:val="pt-BR"/>
        </w:rPr>
        <w:t>A diferença entre as duas HUs é o momento do disparo do Log. Na transação de assinatura simples gera o</w:t>
      </w:r>
      <w:bookmarkStart w:id="0" w:name="_GoBack"/>
      <w:bookmarkEnd w:id="0"/>
      <w:r>
        <w:rPr>
          <w:rFonts w:hint="default" w:ascii="SimSun" w:hAnsi="SimSun" w:eastAsia="SimSun" w:cs="SimSun"/>
          <w:sz w:val="24"/>
          <w:szCs w:val="24"/>
          <w:lang w:val="pt-BR"/>
        </w:rPr>
        <w:t xml:space="preserve"> tagueamento já na efetivação da senha de acesso. Na transação de assinatura múltipla gera o tagueamento quando o primeiro representante aprovar. Porém, o fluxo de envio Pix, geração dos logs, tag é exatamente igual.</w:t>
      </w:r>
    </w:p>
    <w:p w14:paraId="3DB80607">
      <w:pPr>
        <w:rPr>
          <w:rFonts w:hint="default" w:ascii="SimSun" w:hAnsi="SimSun" w:eastAsia="SimSun" w:cs="SimSun"/>
          <w:sz w:val="24"/>
          <w:szCs w:val="24"/>
          <w:lang w:val="pt-BR"/>
        </w:rPr>
      </w:pPr>
    </w:p>
    <w:p w14:paraId="190CDF0F">
      <w:r>
        <w:drawing>
          <wp:inline distT="0" distB="0" distL="114300" distR="114300">
            <wp:extent cx="6981825" cy="2981960"/>
            <wp:effectExtent l="0" t="0" r="952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F304"/>
    <w:p w14:paraId="734750E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do SIMCV código 53001 - Tagueamento de Pix:</w:t>
      </w:r>
    </w:p>
    <w:p w14:paraId="0B144298"/>
    <w:p w14:paraId="675641E1">
      <w:r>
        <w:drawing>
          <wp:inline distT="0" distB="0" distL="114300" distR="114300">
            <wp:extent cx="6983095" cy="1651000"/>
            <wp:effectExtent l="0" t="0" r="8255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309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843D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do SINBC - PIX:</w:t>
      </w:r>
    </w:p>
    <w:p w14:paraId="36701D13">
      <w:r>
        <w:drawing>
          <wp:inline distT="0" distB="0" distL="114300" distR="114300">
            <wp:extent cx="6978015" cy="1587500"/>
            <wp:effectExtent l="0" t="0" r="13335" b="1270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801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5148">
      <w:r>
        <w:drawing>
          <wp:inline distT="0" distB="0" distL="114300" distR="114300">
            <wp:extent cx="6982460" cy="1092200"/>
            <wp:effectExtent l="0" t="0" r="8890" b="1270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849B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da Transação efetivada:</w:t>
      </w:r>
    </w:p>
    <w:p w14:paraId="2C48C4AB">
      <w:r>
        <w:drawing>
          <wp:inline distT="0" distB="0" distL="114300" distR="114300">
            <wp:extent cx="6978015" cy="1196340"/>
            <wp:effectExtent l="0" t="0" r="13335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801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6254"/>
    <w:p w14:paraId="4755E01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Caso o emissor seja bloqueado pelo anti-fraude impossibilitando de envio de Pix:</w:t>
      </w:r>
    </w:p>
    <w:p w14:paraId="561FB676">
      <w:pPr>
        <w:rPr>
          <w:rFonts w:hint="default"/>
          <w:lang w:val="pt-BR"/>
        </w:rPr>
      </w:pPr>
    </w:p>
    <w:p w14:paraId="64DEF26C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Cliente bloqueado</w:t>
      </w:r>
      <w:r>
        <w:rPr>
          <w:rFonts w:hint="default"/>
          <w:lang w:val="pt-BR"/>
        </w:rPr>
        <w:t xml:space="preserve"> -&gt; user: 13usuario01</w:t>
      </w:r>
    </w:p>
    <w:p w14:paraId="0589802E">
      <w:r>
        <w:drawing>
          <wp:inline distT="0" distB="0" distL="114300" distR="114300">
            <wp:extent cx="6976745" cy="2981960"/>
            <wp:effectExtent l="0" t="0" r="14605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5333"/>
    <w:p w14:paraId="3C620085">
      <w:r>
        <w:drawing>
          <wp:inline distT="0" distB="0" distL="114300" distR="114300">
            <wp:extent cx="6976745" cy="2981960"/>
            <wp:effectExtent l="0" t="0" r="14605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F513"/>
    <w:p w14:paraId="67118B8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de bloqueio no SIMCV: código 53001 com score 100 e tag de block_list</w:t>
      </w:r>
    </w:p>
    <w:p w14:paraId="707EF46F">
      <w:pPr>
        <w:rPr>
          <w:rFonts w:hint="default"/>
          <w:lang w:val="pt-BR"/>
        </w:rPr>
      </w:pPr>
    </w:p>
    <w:p w14:paraId="4071C983">
      <w:r>
        <w:drawing>
          <wp:inline distT="0" distB="0" distL="114300" distR="114300">
            <wp:extent cx="6980555" cy="1511935"/>
            <wp:effectExtent l="0" t="0" r="10795" b="1206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2856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Log de bloqueio no SINBC-PIX:</w:t>
      </w:r>
    </w:p>
    <w:p w14:paraId="09975A92">
      <w:r>
        <w:drawing>
          <wp:inline distT="0" distB="0" distL="114300" distR="114300">
            <wp:extent cx="6976110" cy="1000125"/>
            <wp:effectExtent l="0" t="0" r="1524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761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5BCA"/>
    <w:p w14:paraId="45CA9D1E">
      <w:r>
        <w:drawing>
          <wp:inline distT="0" distB="0" distL="114300" distR="114300">
            <wp:extent cx="6976110" cy="1000125"/>
            <wp:effectExtent l="0" t="0" r="152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761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E752"/>
    <w:p w14:paraId="23F5C7A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do Pix rejeitado no SIAAF:</w:t>
      </w:r>
    </w:p>
    <w:p w14:paraId="75835876">
      <w:pPr>
        <w:rPr>
          <w:rFonts w:hint="default"/>
          <w:lang w:val="pt-BR"/>
        </w:rPr>
      </w:pPr>
    </w:p>
    <w:p w14:paraId="776413F9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979920" cy="2332990"/>
            <wp:effectExtent l="0" t="0" r="0" b="0"/>
            <wp:docPr id="11" name="Imagem 11" descr="evidencia SIS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evidencia SISPI"/>
                    <pic:cNvPicPr>
                      <a:picLocks noChangeAspect="1"/>
                    </pic:cNvPicPr>
                  </pic:nvPicPr>
                  <pic:blipFill>
                    <a:blip r:embed="rId14"/>
                    <a:srcRect t="6254" b="14239"/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D03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Log dos Pix bloqueados na fila do serviço Anti-fraude:</w:t>
      </w:r>
    </w:p>
    <w:p w14:paraId="3EBB23BD">
      <w:pPr>
        <w:rPr>
          <w:rFonts w:hint="default"/>
          <w:lang w:val="pt-BR"/>
        </w:rPr>
      </w:pPr>
    </w:p>
    <w:p w14:paraId="0C855E49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978015" cy="2078355"/>
            <wp:effectExtent l="0" t="0" r="13335" b="17145"/>
            <wp:docPr id="12" name="Imagem 12" descr="Log Anti-fraude Top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Log Anti-fraude Topaz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80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7159">
      <w:pPr>
        <w:rPr>
          <w:rFonts w:hint="default"/>
          <w:lang w:val="pt-BR"/>
        </w:rPr>
      </w:pPr>
    </w:p>
    <w:p w14:paraId="5AE08F04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6971030" cy="1681480"/>
            <wp:effectExtent l="0" t="0" r="1270" b="13970"/>
            <wp:docPr id="13" name="Imagem 13" descr="Log Anti-fraude Topaz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Log Anti-fraude Topaz-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2BCE">
      <w:pPr>
        <w:rPr>
          <w:rFonts w:hint="default"/>
          <w:lang w:val="pt-BR"/>
        </w:rPr>
      </w:pPr>
    </w:p>
    <w:sectPr>
      <w:pgSz w:w="11906" w:h="16838"/>
      <w:pgMar w:top="440" w:right="506" w:bottom="198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60D9F"/>
    <w:rsid w:val="2AE60D9F"/>
    <w:rsid w:val="529C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296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2025-04-10T13:42:00Z</dcterms:created>
  <dc:creator>Michele</dc:creator>
  <cp:lastModifiedBy>Michele Gandolfi</cp:lastModifiedBy>
  <dcterms:modified xsi:type="dcterms:W3CDTF">2025-04-10T18:42:40Z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1046-12.2.0.20755</vt:lpwstr>
  </property>
  <property fmtid="{D5CDD505-2E9C-101B-9397-08002B2CF9AE}" pid="3" name="ICV">
    <vt:lpwstr>7392293C73134CE0832A6FE4D99BEC8E_11</vt:lpwstr>
  </property>
</Properties>
</file>