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Administrator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Varchar(30)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PK(Primary Key</w:t>
            </w: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Password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Varchar(30)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Mobile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Varchar(12)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Otp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Numeric(6)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>
          <w:trHeight w:val="395" w:hRule="atLeast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>c</w:t>
            </w: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>ategory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catid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catDescp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subcategory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subid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subDescription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 xml:space="preserve">FK to </w:t>
            </w: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>category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pid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productprice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productstock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productdiscount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productdesc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productimage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subid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subcategory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bill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billID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datatime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datetime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grandtotal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decimal(10,0)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payment_method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city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zipcode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varchar(6)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address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remarks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client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status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personrecieved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trackid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companyname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varchar(300)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cancelledremarks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billdetail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billdetailid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price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float(10,2)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quantity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product</w:t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billid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bill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client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email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password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fullname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mobile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int(15)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Kacst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mbria" w:hAnsi="Cambria" w:eastAsia="ＭＳ 明朝" w:cs="DejaVu Sans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Free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2</Pages>
  <Words>116</Words>
  <Characters>861</Characters>
  <CharactersWithSpaces>872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2020-03-21T06:16:00Z</dcterms:created>
  <dc:creator>a a</dc:creator>
  <dc:description/>
  <dc:language>en-US</dc:language>
  <cp:lastModifiedBy/>
  <dcterms:modified xsi:type="dcterms:W3CDTF">2020-03-22T13:36:14Z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