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309360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-m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left"/>
      </w:pPr>
      <w:r>
        <w:rPr>
          <w:rFonts w:ascii="Arial" w:hAnsi="Arial"/>
          <w:b/>
          <w:color w:val="184C78"/>
          <w:sz w:val="36"/>
        </w:rPr>
        <w:t>PLANIFICACIÓN DE SPRINTS &amp; BACKLOG SCRUM</w:t>
      </w:r>
    </w:p>
    <w:p>
      <w:pPr>
        <w:spacing w:before="0" w:after="240"/>
      </w:pPr>
      <w:r>
        <w:rPr>
          <w:rFonts w:ascii="Arial" w:hAnsi="Arial"/>
          <w:i/>
          <w:color w:val="2980B9"/>
          <w:sz w:val="22"/>
        </w:rPr>
        <w:t>Módulo de Finanzas (finance-ms) — MasterHub | Plan B Exprés (Fast-Track)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5F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2C3E50"/>
                <w:sz w:val="19"/>
              </w:rPr>
              <w:t xml:space="preserve">• Responsable Técnico: </w:t>
            </w:r>
            <w:r>
              <w:rPr>
                <w:sz w:val="19"/>
              </w:rPr>
              <w:t>Ing. Víctor Montoya (Analista IT &amp; Desarrollador Principal MasterHub)</w:t>
              <w:br/>
            </w:r>
            <w:r>
              <w:rPr>
                <w:b/>
                <w:color w:val="2C3E50"/>
                <w:sz w:val="19"/>
              </w:rPr>
              <w:t xml:space="preserve">• Modalidad de Ejecución: </w:t>
            </w:r>
            <w:r>
              <w:rPr>
                <w:sz w:val="19"/>
              </w:rPr>
              <w:t>Plan B Exprés por Premura (Fast-Track) — 4 Sprints Timeboxed (6 Semanas)</w:t>
              <w:br/>
            </w:r>
            <w:r>
              <w:rPr>
                <w:b/>
                <w:color w:val="2C3E50"/>
                <w:sz w:val="19"/>
              </w:rPr>
              <w:t xml:space="preserve">• Presupuesto &amp; Hitos: </w:t>
            </w:r>
            <w:r>
              <w:rPr>
                <w:sz w:val="19"/>
              </w:rPr>
              <w:t>67 Story Points (SP) | Inversión: $6,000.00 USD ($1,500.00 USD por Hito)</w:t>
              <w:br/>
            </w:r>
            <w:r>
              <w:rPr>
                <w:b/>
                <w:color w:val="2C3E50"/>
                <w:sz w:val="19"/>
              </w:rPr>
              <w:t xml:space="preserve">• Trazabilidad ClickUp: </w:t>
            </w:r>
            <w:r>
              <w:rPr>
                <w:sz w:val="19"/>
              </w:rPr>
              <w:t>Espacio MasterHub / 1er Fase (Tarea Padre: MS-FINANZAS #86bb7qxde)</w:t>
              <w:br/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84C78"/>
          <w:sz w:val="26"/>
        </w:rPr>
        <w:t>1. Cronograma Ejecutivo de Sprints &amp; Hitos Financieros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224"/>
            <w:shd w:fill="184C78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656"/>
            <w:shd w:fill="184C78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Fechas</w:t>
            </w:r>
          </w:p>
        </w:tc>
        <w:tc>
          <w:tcPr>
            <w:tcW w:type="dxa" w:w="1080"/>
            <w:shd w:fill="184C78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152"/>
            <w:shd w:fill="184C78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Story Points</w:t>
            </w:r>
          </w:p>
        </w:tc>
        <w:tc>
          <w:tcPr>
            <w:tcW w:type="dxa" w:w="3384"/>
            <w:shd w:fill="184C78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Entregable Clave</w:t>
            </w:r>
          </w:p>
        </w:tc>
        <w:tc>
          <w:tcPr>
            <w:tcW w:type="dxa" w:w="1440"/>
            <w:shd w:fill="184C78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Hito Financiero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C3E50"/>
                <w:sz w:val="17"/>
              </w:rPr>
              <w:t>Sprint 1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7"/>
              </w:rPr>
              <w:t>17/09 – 27/09/2026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7"/>
              </w:rPr>
              <w:t>1.5 sem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7"/>
              </w:rPr>
              <w:t>21 SP</w:t>
            </w:r>
          </w:p>
        </w:tc>
        <w:tc>
          <w:tcPr>
            <w:tcW w:type="dxa" w:w="33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C3E50"/>
                <w:sz w:val="17"/>
              </w:rPr>
              <w:t>MVP CxP, Motor Fiscal SENIAT, Tasa BCV &amp; Propuesta Pago PDF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C3E50"/>
                <w:sz w:val="17"/>
              </w:rPr>
              <w:t>$1,500.00 USD</w:t>
            </w:r>
          </w:p>
        </w:tc>
      </w:tr>
      <w:tr>
        <w:tc>
          <w:tcPr>
            <w:tcW w:type="dxa" w:w="1224"/>
            <w:shd w:fill="F4F6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C3E50"/>
                <w:sz w:val="17"/>
              </w:rPr>
              <w:t>Sprint 2</w:t>
            </w:r>
          </w:p>
        </w:tc>
        <w:tc>
          <w:tcPr>
            <w:tcW w:type="dxa" w:w="1656"/>
            <w:shd w:fill="F4F6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7"/>
              </w:rPr>
              <w:t>28/09 – 08/10/2026</w:t>
            </w:r>
          </w:p>
        </w:tc>
        <w:tc>
          <w:tcPr>
            <w:tcW w:type="dxa" w:w="1080"/>
            <w:shd w:fill="F4F6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7"/>
              </w:rPr>
              <w:t>1.5 sem</w:t>
            </w:r>
          </w:p>
        </w:tc>
        <w:tc>
          <w:tcPr>
            <w:tcW w:type="dxa" w:w="1152"/>
            <w:shd w:fill="F4F6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7"/>
              </w:rPr>
              <w:t>18 SP</w:t>
            </w:r>
          </w:p>
        </w:tc>
        <w:tc>
          <w:tcPr>
            <w:tcW w:type="dxa" w:w="3384"/>
            <w:shd w:fill="F4F6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C3E50"/>
                <w:sz w:val="17"/>
              </w:rPr>
              <w:t>Egresos, Enrutamiento BNC/Provincial, TXT Bancario &amp; MinIO S3</w:t>
            </w:r>
          </w:p>
        </w:tc>
        <w:tc>
          <w:tcPr>
            <w:tcW w:type="dxa" w:w="1440"/>
            <w:shd w:fill="F4F6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C3E50"/>
                <w:sz w:val="17"/>
              </w:rPr>
              <w:t>$1,500.00 USD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C3E50"/>
                <w:sz w:val="17"/>
              </w:rPr>
              <w:t>Sprint 3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7"/>
              </w:rPr>
              <w:t>09/10 – 19/10/2026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7"/>
              </w:rPr>
              <w:t>1.5 sem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7"/>
              </w:rPr>
              <w:t>15 SP</w:t>
            </w:r>
          </w:p>
        </w:tc>
        <w:tc>
          <w:tcPr>
            <w:tcW w:type="dxa" w:w="33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C3E50"/>
                <w:sz w:val="17"/>
              </w:rPr>
              <w:t>CxC, Conciliación Masiva CSV &amp; Calculadora Comisiones POS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C3E50"/>
                <w:sz w:val="17"/>
              </w:rPr>
              <w:t>$1,500.00 USD</w:t>
            </w:r>
          </w:p>
        </w:tc>
      </w:tr>
      <w:tr>
        <w:tc>
          <w:tcPr>
            <w:tcW w:type="dxa" w:w="1224"/>
            <w:shd w:fill="F4F6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C3E50"/>
                <w:sz w:val="17"/>
              </w:rPr>
              <w:t>Sprint 4</w:t>
            </w:r>
          </w:p>
        </w:tc>
        <w:tc>
          <w:tcPr>
            <w:tcW w:type="dxa" w:w="1656"/>
            <w:shd w:fill="F4F6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7"/>
              </w:rPr>
              <w:t>20/10 – 30/10/2026</w:t>
            </w:r>
          </w:p>
        </w:tc>
        <w:tc>
          <w:tcPr>
            <w:tcW w:type="dxa" w:w="1080"/>
            <w:shd w:fill="F4F6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7"/>
              </w:rPr>
              <w:t>1.5 sem</w:t>
            </w:r>
          </w:p>
        </w:tc>
        <w:tc>
          <w:tcPr>
            <w:tcW w:type="dxa" w:w="1152"/>
            <w:shd w:fill="F4F6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7"/>
              </w:rPr>
              <w:t>13 SP</w:t>
            </w:r>
          </w:p>
        </w:tc>
        <w:tc>
          <w:tcPr>
            <w:tcW w:type="dxa" w:w="3384"/>
            <w:shd w:fill="F4F6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C3E50"/>
                <w:sz w:val="17"/>
              </w:rPr>
              <w:t>Caja Chica, Cuota Marketing 4%, Audit Logs SENIAT &amp; Release Staging/Prod</w:t>
            </w:r>
          </w:p>
        </w:tc>
        <w:tc>
          <w:tcPr>
            <w:tcW w:type="dxa" w:w="1440"/>
            <w:shd w:fill="F4F6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C3E50"/>
                <w:sz w:val="17"/>
              </w:rPr>
              <w:t>$1,500.00 USD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b/>
          <w:color w:val="184C78"/>
          <w:sz w:val="26"/>
        </w:rPr>
        <w:t>2. Desglose Detallado de Historias de Usuario por Sprint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84C78"/>
                <w:sz w:val="21"/>
              </w:rPr>
              <w:t>SPRINT 1: MVP Cuentas por Pagar (CxP) &amp; Motor Fiscal SENIAT</w:t>
              <w:br/>
            </w:r>
            <w:r>
              <w:rPr>
                <w:rFonts w:ascii="Arial" w:hAnsi="Arial"/>
                <w:b/>
                <w:color w:val="2980B9"/>
                <w:sz w:val="17"/>
              </w:rPr>
              <w:t>17/09/2026 – 27/09/2026 | 1.5 Semanas | 21 SP | Hito: $1,500.00 USD | ClickUp: #86bc224z8</w:t>
              <w:br/>
            </w:r>
            <w:r>
              <w:rPr>
                <w:b/>
                <w:color w:val="2C3E50"/>
                <w:sz w:val="18"/>
              </w:rPr>
              <w:t xml:space="preserve">Objetivo del Sprint: </w:t>
            </w:r>
            <w:r>
              <w:rPr>
                <w:i/>
                <w:sz w:val="18"/>
              </w:rPr>
              <w:t>Automatizar la recepción de facturas, cálculo fiscal SENIAT (retención 75%/100% IVA e ISLR) y generación del PDF de propuesta de pago semanal los martes a las 5:00 PM.</w:t>
              <w:br/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1.1: Modelado Prisma ORM &amp; Base DB (4h | 3 SP): </w:t>
            </w:r>
            <w:r>
              <w:rPr>
                <w:color w:val="2C3E50"/>
                <w:sz w:val="17"/>
              </w:rPr>
              <w:t>Crear esquema Prisma para Supplier, AccountPayable, TaxRetention y PaymentProposal con integridad y auditoría.</w:t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1.2: API CxP &amp; Sincronización Tasa BCV (6h | 5 SP): </w:t>
            </w:r>
            <w:r>
              <w:rPr>
                <w:color w:val="2C3E50"/>
                <w:sz w:val="17"/>
              </w:rPr>
              <w:t>Registro de facturas multimoneda (USD/Bs) y consulta automática de tasa oficial BCV para congelar montos en Bs.</w:t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1.3: Motor Fiscal SENIAT (IVA e ISLR) (6h | 5 SP): </w:t>
            </w:r>
            <w:r>
              <w:rPr>
                <w:color w:val="2C3E50"/>
                <w:sz w:val="17"/>
              </w:rPr>
              <w:t>Cálculo normativo de retenciones 75%/100% de IVA e ISLR con generación de comprobante de 14 dígitos (YYYYMMXXXXXXXX).</w:t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1.4: Cronjob de Propuesta Semanal de Pago PDF (6h | 5 SP): </w:t>
            </w:r>
            <w:r>
              <w:rPr>
                <w:color w:val="2C3E50"/>
                <w:sz w:val="17"/>
              </w:rPr>
              <w:t>Generación automática consolidada en PDF de facturas pendientes cada martes a las 5:00 PM para la dirección ejecutiva.</w:t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1.5: UI React / Next.js para Carga y Aprobación (8h | 3 SP): </w:t>
            </w:r>
            <w:r>
              <w:rPr>
                <w:color w:val="2C3E50"/>
                <w:sz w:val="17"/>
              </w:rPr>
              <w:t>Interfaz en MasterHub para revisión, filtros por sucursal, validación y aprobación de lotes de pago.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84C78"/>
                <w:sz w:val="21"/>
              </w:rPr>
              <w:t>SPRINT 2: Egresos, Enrutamiento Bancario &amp; Archivos TXT</w:t>
              <w:br/>
            </w:r>
            <w:r>
              <w:rPr>
                <w:rFonts w:ascii="Arial" w:hAnsi="Arial"/>
                <w:b/>
                <w:color w:val="2980B9"/>
                <w:sz w:val="17"/>
              </w:rPr>
              <w:t>28/09/2026 – 08/10/2026 | 1.5 Semanas | 18 SP | Hito: $1,500.00 USD | ClickUp: #86bc2251g</w:t>
              <w:br/>
            </w:r>
            <w:r>
              <w:rPr>
                <w:b/>
                <w:color w:val="2C3E50"/>
                <w:sz w:val="18"/>
              </w:rPr>
              <w:t xml:space="preserve">Objetivo del Sprint: </w:t>
            </w:r>
            <w:r>
              <w:rPr>
                <w:i/>
                <w:sz w:val="18"/>
              </w:rPr>
              <w:t>Automatizar la emisión de pagos masivos mediante enrutamiento de cuentas (BNC / Banco Provincial) y exportación de lotes TXT bancarios.</w:t>
              <w:br/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2.1: Enrutamiento Inteligente de Cuentas Bancarias (8h | 5 SP): </w:t>
            </w:r>
            <w:r>
              <w:rPr>
                <w:color w:val="2C3E50"/>
                <w:sz w:val="17"/>
              </w:rPr>
              <w:t>Asociación dinámica de cuentas bancarias origen y destino por sucursal y banco emisor.</w:t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2.2: Generador de Lotes TXT Bancarios BNC &amp; Provincial (8h | 5 SP): </w:t>
            </w:r>
            <w:r>
              <w:rPr>
                <w:color w:val="2C3E50"/>
                <w:sz w:val="17"/>
              </w:rPr>
              <w:t>Exportación estructurada de lotes de pago TXT oficiales de BNC y Banco Provincial para banca en línea.</w:t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2.3: Gestión de Soportes Digitales en MinIO S3 (8h | 5 SP): </w:t>
            </w:r>
            <w:r>
              <w:rPr>
                <w:color w:val="2C3E50"/>
                <w:sz w:val="17"/>
              </w:rPr>
              <w:t>Almacenamiento de valija digital (comprobantes de transferencia y facturas PDF/JPG) vinculada a cada egreso.</w:t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2.4: Módulo de Conciliación Manual de Egresos (6h | 3 SP): </w:t>
            </w:r>
            <w:r>
              <w:rPr>
                <w:color w:val="2C3E50"/>
                <w:sz w:val="17"/>
              </w:rPr>
              <w:t>Marcado de pagos liquidados con registro de referencia bancaria para cierre de ciclo.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84C78"/>
                <w:sz w:val="21"/>
              </w:rPr>
              <w:t>SPRINT 3: Cuentas por Cobrar (CxC) &amp; Conciliación Masiva CSV</w:t>
              <w:br/>
            </w:r>
            <w:r>
              <w:rPr>
                <w:rFonts w:ascii="Arial" w:hAnsi="Arial"/>
                <w:b/>
                <w:color w:val="2980B9"/>
                <w:sz w:val="17"/>
              </w:rPr>
              <w:t>09/10/2026 – 19/10/2026 | 1.5 Semanas | 15 SP | Hito: $1,500.00 USD | ClickUp: #86bc22532</w:t>
              <w:br/>
            </w:r>
            <w:r>
              <w:rPr>
                <w:b/>
                <w:color w:val="2C3E50"/>
                <w:sz w:val="18"/>
              </w:rPr>
              <w:t xml:space="preserve">Objetivo del Sprint: </w:t>
            </w:r>
            <w:r>
              <w:rPr>
                <w:i/>
                <w:sz w:val="18"/>
              </w:rPr>
              <w:t>Cruzar automáticamente extractos bancarios CSV con las ventas de Xetux, calculando comisiones POS (0.30%) y retención ISLR TC (2%).</w:t>
              <w:br/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3.1: Parser de Extractos Bancarios CSV &amp; Conciliación Masiva (10h | 5 SP): </w:t>
            </w:r>
            <w:r>
              <w:rPr>
                <w:color w:val="2C3E50"/>
                <w:sz w:val="17"/>
              </w:rPr>
              <w:t>Procesamiento masivo de extractos CSV para cruce automatizado contra ventas diarias.</w:t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3.2: Calculadora de Comisiones POS (0.30%) y Retención ISLR TC (2%) (10h | 5 SP): </w:t>
            </w:r>
            <w:r>
              <w:rPr>
                <w:color w:val="2C3E50"/>
                <w:sz w:val="17"/>
              </w:rPr>
              <w:t>Deducción automática de comisiones bancarias y retenciones fiscales para registro del ingreso neto real.</w:t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3.3: Estado de Cuenta de Clientes &amp; Reclamaciones CxC (10h | 5 SP): </w:t>
            </w:r>
            <w:r>
              <w:rPr>
                <w:color w:val="2C3E50"/>
                <w:sz w:val="17"/>
              </w:rPr>
              <w:t>Visualización unificada de saldos pendientes, notas de crédito y cobranza corporativa.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84C78"/>
                <w:sz w:val="21"/>
              </w:rPr>
              <w:t>SPRINT 4: Caja Chica, Cuota Marketing (4%), Audit Logs &amp; Release Final</w:t>
              <w:br/>
            </w:r>
            <w:r>
              <w:rPr>
                <w:rFonts w:ascii="Arial" w:hAnsi="Arial"/>
                <w:b/>
                <w:color w:val="2980B9"/>
                <w:sz w:val="17"/>
              </w:rPr>
              <w:t>20/10/2026 – 30/10/2026 | 1.5 Semanas | 13 SP | Hito: $1,500.00 USD | ClickUp: #86bc225cr</w:t>
              <w:br/>
            </w:r>
            <w:r>
              <w:rPr>
                <w:b/>
                <w:color w:val="2C3E50"/>
                <w:sz w:val="18"/>
              </w:rPr>
              <w:t xml:space="preserve">Objetivo del Sprint: </w:t>
            </w:r>
            <w:r>
              <w:rPr>
                <w:i/>
                <w:sz w:val="18"/>
              </w:rPr>
              <w:t>Arqueo de caja chica por sucursal, automatización de cuota de marketing (4%), trazabilidad SENIAT y despliegue final en producción.</w:t>
              <w:br/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4.1: Arqueo e Inspección de Caja Chica Semanal (8h | 3 SP): </w:t>
            </w:r>
            <w:r>
              <w:rPr>
                <w:color w:val="2C3E50"/>
                <w:sz w:val="17"/>
              </w:rPr>
              <w:t>Registro de gastos menores, vales provisionales y reposición de fondo fijo semanal por sucursal.</w:t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4.2: Deducción Automática de Cuota de Marketing 4% (6h | 3 SP): </w:t>
            </w:r>
            <w:r>
              <w:rPr>
                <w:color w:val="2C3E50"/>
                <w:sz w:val="17"/>
              </w:rPr>
              <w:t>Cálculo automático del 4% sobre ventas brutas para el fondo de mercadeo.</w:t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4.3: Audit Logs &amp; Trazabilidad SENIAT (10h | 5 SP): </w:t>
            </w:r>
            <w:r>
              <w:rPr>
                <w:color w:val="2C3E50"/>
                <w:sz w:val="17"/>
              </w:rPr>
              <w:t>Historial inalterable de auditoría (usuario, timestamp, IP, acción) para cumplimiento tributario.</w:t>
            </w:r>
          </w:p>
          <w:p>
            <w:pPr>
              <w:spacing w:before="60" w:after="20"/>
              <w:ind w:left="173"/>
            </w:pPr>
            <w:r>
              <w:rPr>
                <w:b/>
                <w:color w:val="2C3E50"/>
                <w:sz w:val="17"/>
              </w:rPr>
              <w:t xml:space="preserve">• US 4.4: Despliegue en Staging / Producción &amp; Cierre (6h | 2 SP): </w:t>
            </w:r>
            <w:r>
              <w:rPr>
                <w:color w:val="2C3E50"/>
                <w:sz w:val="17"/>
              </w:rPr>
              <w:t>Migraciones finales, despliegue en Hetzner Cloud con Coolify y entrega 100% operativa.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184C78"/>
          <w:sz w:val="26"/>
        </w:rPr>
        <w:t>3. Conformidad y Aprobación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8"/>
              </w:rPr>
              <w:br/>
              <w:br/>
              <w:t>___________________________________</w:t>
              <w:br/>
              <w:t>Ing. Víctor Montoya</w:t>
              <w:br/>
              <w:t>Líder Técnico &amp; Desarrollador IT</w:t>
              <w:br/>
              <w:t>MasterHub / Xetux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C3E50"/>
                <w:sz w:val="18"/>
              </w:rPr>
              <w:br/>
              <w:br/>
              <w:t>___________________________________</w:t>
              <w:br/>
              <w:t>Dirección General / Administración</w:t>
              <w:br/>
              <w:t>Aprobación Ejecutiva</w:t>
              <w:br/>
              <w:t>MasterHub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type="dxa" w:w="49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864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