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067" w:type="dxa"/>
        <w:jc w:val="left"/>
        <w:tblInd w:w="0" w:type="dxa"/>
        <w:tblLayout w:type="fixed"/>
        <w:tblCellMar>
          <w:top w:w="0" w:type="dxa"/>
          <w:left w:w="22" w:type="dxa"/>
          <w:bottom w:w="0" w:type="dxa"/>
          <w:right w:w="5" w:type="dxa"/>
        </w:tblCellMar>
        <w:tblLook w:firstRow="1" w:noVBand="1" w:lastRow="0" w:firstColumn="1" w:lastColumn="0" w:noHBand="0" w:val="04a0"/>
      </w:tblPr>
      <w:tblGrid>
        <w:gridCol w:w="3208"/>
        <w:gridCol w:w="1232"/>
        <w:gridCol w:w="4292"/>
        <w:gridCol w:w="1334"/>
      </w:tblGrid>
      <w:tr>
        <w:trPr>
          <w:trHeight w:val="530" w:hRule="atLeast"/>
        </w:trPr>
        <w:tc>
          <w:tcPr>
            <w:tcW w:w="3208" w:type="dxa"/>
            <w:vMerge w:val="restart"/>
            <w:tcBorders>
              <w:top w:val="single" w:sz="18" w:space="0" w:color="000000"/>
              <w:left w:val="single" w:sz="18" w:space="0" w:color="000000"/>
              <w:bottom w:val="single" w:sz="18" w:space="0" w:color="000000"/>
              <w:right w:val="single" w:sz="4" w:space="0" w:color="000000"/>
            </w:tcBorders>
            <w:vAlign w:val="center"/>
          </w:tcPr>
          <w:p>
            <w:pPr>
              <w:pStyle w:val="Header"/>
              <w:jc w:val="center"/>
              <w:rPr>
                <w:rFonts w:ascii="Calibri" w:hAnsi="Calibri" w:cs="Calibri" w:asciiTheme="minorHAnsi" w:cstheme="minorHAnsi" w:hAnsiTheme="minorHAnsi"/>
                <w:b/>
                <w:sz w:val="32"/>
              </w:rPr>
            </w:pPr>
            <w:r>
              <w:rPr/>
              <w:drawing>
                <wp:inline distT="0" distB="0" distL="0" distR="0">
                  <wp:extent cx="2012315" cy="637540"/>
                  <wp:effectExtent l="0" t="0" r="0" b="0"/>
                  <wp:docPr id="1001" name="Imagem 1"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 Logotipo&#10;&#10;O conteúdo gerado por IA pode estar incorreto."/>
                          <pic:cNvPicPr>
                            <a:picLocks noChangeAspect="1" noChangeArrowheads="1"/>
                          </pic:cNvPicPr>
                        </pic:nvPicPr>
                        <pic:blipFill>
                          <a:blip r:embed="rId2"/>
                          <a:srcRect l="9520" t="16491" r="9893" b="18639"/>
                          <a:stretch>
                            <a:fillRect/>
                          </a:stretch>
                        </pic:blipFill>
                        <pic:spPr bwMode="auto">
                          <a:xfrm>
                            <a:off x="0" y="0"/>
                            <a:ext cx="2012315" cy="637540"/>
                          </a:xfrm>
                          <a:prstGeom prst="rect">
                            <a:avLst/>
                          </a:prstGeom>
                          <a:noFill/>
                        </pic:spPr>
                      </pic:pic>
                    </a:graphicData>
                  </a:graphic>
                </wp:inline>
              </w:drawing>
            </w:r>
          </w:p>
        </w:tc>
        <w:tc>
          <w:tcPr>
            <w:tcW w:w="6858" w:type="dxa"/>
            <w:gridSpan w:val="3"/>
            <w:tcBorders>
              <w:top w:val="single" w:sz="18" w:space="0" w:color="000000"/>
              <w:bottom w:val="single" w:sz="2" w:space="0" w:color="000000"/>
              <w:right w:val="single" w:sz="18" w:space="0" w:color="000000"/>
            </w:tcBorders>
            <w:tcMar>
              <w:left w:w="70" w:type="dxa"/>
              <w:right w:w="70" w:type="dxa"/>
            </w:tcMar>
            <w:vAlign w:val="center"/>
          </w:tcPr>
          <w:p>
            <w:pPr>
              <w:pStyle w:val="Normal"/>
              <w:jc w:val="center"/>
              <w:rPr>
                <w:rFonts w:ascii="Calibri" w:hAnsi="Calibri" w:cs="Calibri" w:asciiTheme="minorHAnsi" w:cstheme="minorHAnsi" w:hAnsiTheme="minorHAnsi"/>
                <w:sz w:val="24"/>
                <w:szCs w:val="24"/>
              </w:rPr>
            </w:pPr>
            <w:r>
              <w:rPr>
                <w:rFonts w:cs="Calibri" w:ascii="Calibri" w:hAnsi="Calibri" w:asciiTheme="minorHAnsi" w:cstheme="minorHAnsi" w:hAnsiTheme="minorHAnsi"/>
                <w:b/>
                <w:sz w:val="24"/>
                <w:szCs w:val="24"/>
              </w:rPr>
              <w:t>CONTRATO DE PRESTAÇÃO DE SERVIÇOS DE GESTÃO DE ENERGIA</w:t>
            </w:r>
          </w:p>
        </w:tc>
      </w:tr>
      <w:tr>
        <w:trPr>
          <w:trHeight w:val="98" w:hRule="atLeast"/>
        </w:trPr>
        <w:tc>
          <w:tcPr>
            <w:tcW w:w="3208" w:type="dxa"/>
            <w:vMerge w:val="continue"/>
            <w:tcBorders>
              <w:left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1232" w:type="dxa"/>
            <w:tcBorders>
              <w:top w:val="single" w:sz="2" w:space="0" w:color="000000"/>
              <w:bottom w:val="single" w:sz="2" w:space="0" w:color="000000"/>
            </w:tcBorders>
            <w:tcMar>
              <w:left w:w="70" w:type="dxa"/>
              <w:right w:w="70" w:type="dxa"/>
            </w:tcMar>
            <w:vAlign w:val="center"/>
          </w:tcPr>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b/>
                <w:bCs/>
              </w:rPr>
              <w:t>Nº Contrato:</w:t>
            </w:r>
            <w:r>
              <w:rPr>
                <w:rFonts w:cs="Calibri" w:ascii="Calibri" w:hAnsi="Calibri" w:asciiTheme="minorHAnsi" w:cstheme="minorHAnsi" w:hAnsiTheme="minorHAnsi"/>
              </w:rPr>
              <w:t xml:space="preserve"> </w:t>
            </w:r>
          </w:p>
        </w:tc>
        <w:tc>
          <w:tcPr>
            <w:tcW w:w="4292" w:type="dxa"/>
            <w:tcBorders>
              <w:top w:val="single" w:sz="2" w:space="0" w:color="000000"/>
              <w:bottom w:val="single" w:sz="2" w:space="0" w:color="000000"/>
            </w:tcBorders>
            <w:vAlign w:val="center"/>
          </w:tcPr>
          <w:p>
            <w:pPr>
              <w:pStyle w:val="Normal"/>
              <w:jc w:val="both"/>
              <w:rPr>
                <w:rFonts w:ascii="Calibri" w:hAnsi="Calibri" w:cs="" w:asciiTheme="minorHAnsi" w:cstheme="minorBidi" w:hAnsiTheme="minorHAnsi"/>
                <w:b/>
                <w:bCs/>
              </w:rPr>
            </w:pPr>
            <w:r>
              <w:rPr>
                <w:rFonts w:cs="" w:ascii="Calibri" w:hAnsi="Calibri" w:asciiTheme="minorHAnsi" w:cstheme="minorBidi" w:hAnsiTheme="minorHAnsi"/>
                <w:b/>
                <w:bCs/>
                <w:color w:val="000000"/>
                <w:sz w:val="17"/>
                <w:szCs w:val="17"/>
              </w:rPr>
              <w:t xml:space="preserve">CGRc123i456n1r0a26</w:t>
            </w:r>
          </w:p>
        </w:tc>
        <w:tc>
          <w:tcPr>
            <w:tcW w:w="1334" w:type="dxa"/>
            <w:tcBorders>
              <w:bottom w:val="single" w:sz="2"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r>
        <w:trPr>
          <w:trHeight w:val="298" w:hRule="atLeast"/>
        </w:trPr>
        <w:tc>
          <w:tcPr>
            <w:tcW w:w="3208" w:type="dxa"/>
            <w:vMerge w:val="continue"/>
            <w:tcBorders>
              <w:left w:val="single" w:sz="18" w:space="0" w:color="000000"/>
              <w:bottom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6858" w:type="dxa"/>
            <w:gridSpan w:val="3"/>
            <w:tcBorders>
              <w:top w:val="single" w:sz="2" w:space="0" w:color="000000"/>
              <w:bottom w:val="single" w:sz="18" w:space="0" w:color="000000"/>
              <w:right w:val="single" w:sz="18" w:space="0" w:color="000000"/>
            </w:tcBorders>
            <w:tcMar>
              <w:left w:w="70" w:type="dxa"/>
              <w:right w:w="70" w:type="dxa"/>
            </w:tcMar>
            <w:vAlign w:val="center"/>
          </w:tcPr>
          <w:p>
            <w:pPr>
              <w:pStyle w:val="Normal"/>
              <w:jc w:val="both"/>
              <w:rPr>
                <w:rFonts w:ascii="Calibri" w:hAnsi="Calibri" w:cs="Calibri" w:asciiTheme="minorHAnsi" w:cstheme="minorHAnsi" w:hAnsiTheme="minorHAnsi"/>
                <w:bCs/>
              </w:rPr>
            </w:pPr>
            <w:r>
              <w:rPr>
                <w:rFonts w:cs="Calibri" w:ascii="Calibri" w:hAnsi="Calibri" w:asciiTheme="minorHAnsi" w:cstheme="minorHAnsi" w:hAnsiTheme="minorHAnsi"/>
                <w:b/>
                <w:bCs/>
              </w:rPr>
              <w:t xml:space="preserve">Nº Pedido Plune: </w:t>
            </w:r>
            <w:r>
              <w:rPr>
                <w:rFonts w:cs="Calibri" w:ascii="Calibri" w:hAnsi="Calibri" w:asciiTheme="minorHAnsi" w:cstheme="minorHAnsi" w:hAnsiTheme="minorHAnsi"/>
                <w:b/>
                <w:bCs/>
              </w:rPr>
              <w:t xml:space="preserve">Implantação: 6799 | Recorrente: 6800</w:t>
            </w:r>
          </w:p>
        </w:tc>
      </w:tr>
    </w:tbl>
    <w:p>
      <w:pPr>
        <w:pStyle w:val="Normal"/>
        <w:jc w:val="both"/>
        <w:rPr>
          <w:rFonts w:ascii="Calibri" w:hAnsi="Calibri" w:cs="Calibri" w:asciiTheme="minorHAnsi" w:cstheme="minorHAnsi" w:hAnsiTheme="minorHAnsi"/>
        </w:rPr>
      </w:pPr>
      <w:r>
        <w:rPr>
          <w:rFonts w:cs="Calibri" w:cstheme="minorHAnsi" w:ascii="Calibri" w:hAnsi="Calibri"/>
        </w:rPr>
      </w:r>
    </w:p>
    <w:p>
      <w:pPr>
        <w:pStyle w:val="Normal"/>
        <w:shd w:val="clear" w:color="auto" w:fill="000000" w:themeFill="text1"/>
        <w:jc w:val="center"/>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QUADRO RESUMO</w:t>
      </w:r>
    </w:p>
    <w:p>
      <w:pPr>
        <w:pStyle w:val="Normal"/>
        <w:jc w:val="both"/>
        <w:rPr>
          <w:rFonts w:ascii="Calibri" w:hAnsi="Calibri" w:cs="Calibri" w:asciiTheme="minorHAnsi" w:cstheme="minorHAnsi" w:hAnsiTheme="minorHAnsi"/>
        </w:rPr>
      </w:pPr>
      <w:r>
        <w:rPr>
          <w:rFonts w:cs="Calibri" w:cstheme="minorHAnsi" w:ascii="Calibri" w:hAnsi="Calibri"/>
        </w:rPr>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529"/>
        <w:gridCol w:w="3543"/>
        <w:gridCol w:w="1382"/>
        <w:gridCol w:w="2609"/>
      </w:tblGrid>
      <w:tr>
        <w:trPr>
          <w:trHeight w:val="244" w:hRule="atLeast"/>
        </w:trPr>
        <w:tc>
          <w:tcPr>
            <w:tcW w:w="2529"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 CONTRATANTE:</w:t>
            </w:r>
          </w:p>
        </w:tc>
        <w:tc>
          <w:tcPr>
            <w:tcW w:w="7534" w:type="dxa"/>
            <w:gridSpan w:val="3"/>
            <w:tcBorders>
              <w:top w:val="single" w:sz="1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b/>
                <w:bCs/>
              </w:rPr>
            </w:pPr>
            <w:r>
              <w:rPr>
                <w:rFonts w:cs="" w:ascii="Calibri" w:hAnsi="Calibri" w:asciiTheme="minorHAnsi" w:cstheme="minorBidi" w:hAnsiTheme="minorHAnsi"/>
                <w:b/>
                <w:bCs/>
              </w:rPr>
              <w:t xml:space="preserve">BIView</w:t>
            </w:r>
          </w:p>
        </w:tc>
      </w:tr>
      <w:tr>
        <w:trPr>
          <w:trHeight w:val="244" w:hRule="atLeast"/>
        </w:trPr>
        <w:tc>
          <w:tcPr>
            <w:tcW w:w="2529"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1.1 Nome Fantasia:</w:t>
            </w:r>
          </w:p>
        </w:tc>
        <w:tc>
          <w:tcPr>
            <w:tcW w:w="7534" w:type="dxa"/>
            <w:gridSpan w:val="3"/>
            <w:tcBorders>
              <w:top w:val="single" w:sz="8" w:space="0" w:color="000000"/>
              <w:bottom w:val="single" w:sz="4" w:space="0" w:color="000000"/>
              <w:right w:val="single" w:sz="18" w:space="0" w:color="000000"/>
            </w:tcBorders>
            <w:vAlign w:val="center"/>
          </w:tcPr>
          <w:p>
            <w:pPr>
              <w:pStyle w:val="Normal"/>
              <w:spacing w:lineRule="auto" w:line="259"/>
              <w:rPr>
                <w:rFonts w:ascii="Calibri" w:hAnsi="Calibri" w:cs="" w:asciiTheme="minorHAnsi" w:cstheme="minorBidi" w:hAnsiTheme="minorHAnsi"/>
              </w:rPr>
            </w:pPr>
            <w:r>
              <w:rPr>
                <w:rFonts w:cs="" w:ascii="Calibri" w:hAnsi="Calibri" w:asciiTheme="minorHAnsi" w:cstheme="minorBidi" w:hAnsiTheme="minorHAnsi"/>
              </w:rPr>
              <w:t xml:space="preserve">Cidinei Alves Dias</w:t>
            </w:r>
          </w:p>
        </w:tc>
      </w:tr>
      <w:tr>
        <w:trPr>
          <w:trHeight w:val="244" w:hRule="atLeast"/>
        </w:trPr>
        <w:tc>
          <w:tcPr>
            <w:tcW w:w="2529"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 xml:space="preserve">1.2 Endereço:</w:t>
            </w:r>
          </w:p>
        </w:tc>
        <w:tc>
          <w:tcPr>
            <w:tcW w:w="7534" w:type="dxa"/>
            <w:gridSpan w:val="3"/>
            <w:tcBorders>
              <w:top w:val="single" w:sz="4"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 w:ascii="Calibri" w:hAnsi="Calibri" w:asciiTheme="minorHAnsi" w:cstheme="minorBidi" w:hAnsiTheme="minorHAnsi"/>
              </w:rPr>
              <w:t xml:space="preserve">Cidinei Alves Dias</w:t>
            </w:r>
          </w:p>
        </w:tc>
      </w:tr>
      <w:tr>
        <w:trPr>
          <w:trHeight w:val="244" w:hRule="atLeast"/>
        </w:trPr>
        <w:tc>
          <w:tcPr>
            <w:tcW w:w="2529" w:type="dxa"/>
            <w:tcBorders>
              <w:top w:val="single" w:sz="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1.3 Município/Estado:</w:t>
            </w:r>
          </w:p>
        </w:tc>
        <w:tc>
          <w:tcPr>
            <w:tcW w:w="3543" w:type="dxa"/>
            <w:tcBorders>
              <w:top w:val="single" w:sz="8" w:space="0" w:color="000000"/>
              <w:bottom w:val="single" w:sz="8" w:space="0" w:color="000000"/>
              <w:right w:val="single" w:sz="8" w:space="0" w:color="000000"/>
            </w:tcBorders>
            <w:vAlign w:val="center"/>
          </w:tcPr>
          <w:p>
            <w:pPr>
              <w:pStyle w:val="Normal"/>
              <w:rPr>
                <w:rFonts w:ascii="Calibri" w:hAnsi="Calibri" w:cs="" w:asciiTheme="minorHAnsi" w:cstheme="minorBidi" w:hAnsiTheme="minorHAnsi"/>
              </w:rPr>
            </w:pPr>
            <w:r>
              <w:rPr>
                <w:rFonts w:cs="" w:ascii="Calibri" w:hAnsi="Calibri" w:asciiTheme="minorHAnsi" w:cstheme="minorBidi" w:hAnsiTheme="minorHAnsi"/>
              </w:rPr>
              <w:t xml:space="preserve">Pelotas</w:t>
            </w:r>
          </w:p>
        </w:tc>
        <w:tc>
          <w:tcPr>
            <w:tcW w:w="1382" w:type="dxa"/>
            <w:tcBorders>
              <w:top w:val="single" w:sz="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1.4 CPF/ CNPJ:</w:t>
            </w:r>
          </w:p>
        </w:tc>
        <w:tc>
          <w:tcPr>
            <w:tcW w:w="2609" w:type="dxa"/>
            <w:tcBorders>
              <w:top w:val="single" w:sz="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 w:cstheme="minorBidi"/>
              </w:rPr>
              <w:t xml:space="preserve">52.398.605/0001-86</w:t>
            </w:r>
          </w:p>
        </w:tc>
      </w:tr>
      <w:tr>
        <w:trPr>
          <w:trHeight w:val="244" w:hRule="atLeast"/>
        </w:trPr>
        <w:tc>
          <w:tcPr>
            <w:tcW w:w="2529" w:type="dxa"/>
            <w:tcBorders>
              <w:top w:val="single" w:sz="8" w:space="0" w:color="000000"/>
              <w:left w:val="single" w:sz="1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 xml:space="preserve">1.5 Inscrição Estadual:</w:t>
            </w:r>
          </w:p>
        </w:tc>
        <w:tc>
          <w:tcPr>
            <w:tcW w:w="7534" w:type="dxa"/>
            <w:gridSpan w:val="3"/>
            <w:vMerge w:val="restart"/>
            <w:tcBorders>
              <w:top w:val="single" w:sz="8" w:space="0" w:color="000000"/>
              <w:bottom w:val="single" w:sz="18" w:space="0" w:color="000000"/>
              <w:right w:val="single" w:sz="18" w:space="0" w:color="000000"/>
            </w:tcBorders>
            <w:vAlign w:val="center"/>
          </w:tcPr>
          <w:p>
            <w:pPr>
              <w:pStyle w:val="Normal"/>
              <w:rPr>
                <w:rFonts w:ascii="Calibri" w:hAnsi="Calibri" w:cs="" w:asciiTheme="minorHAnsi" w:cstheme="minorBidi" w:hAnsiTheme="minorHAnsi"/>
              </w:rPr>
            </w:pPr>
            <w:r>
              <w:rPr>
                <w:rFonts w:cs="" w:cstheme="minorBidi"/>
              </w:rPr>
              <w:t xml:space="preserve">7978</w:t>
            </w:r>
          </w:p>
        </w:tc>
      </w:tr>
      <w:tr>
        <w:trPr>
          <w:trHeight w:val="63" w:hRule="atLeast"/>
        </w:trPr>
        <w:tc>
          <w:tcPr>
            <w:tcW w:w="2529"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cstheme="minorHAnsi" w:ascii="Calibri" w:hAnsi="Calibri"/>
                <w:b/>
                <w:bCs/>
              </w:rPr>
            </w:r>
          </w:p>
        </w:tc>
        <w:tc>
          <w:tcPr>
            <w:tcW w:w="7534" w:type="dxa"/>
            <w:gridSpan w:val="3"/>
            <w:vMerge w:val="continue"/>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w:t>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179"/>
        <w:gridCol w:w="1971"/>
        <w:gridCol w:w="930"/>
        <w:gridCol w:w="4983"/>
      </w:tblGrid>
      <w:tr>
        <w:trPr>
          <w:trHeight w:val="247" w:hRule="atLeast"/>
        </w:trPr>
        <w:tc>
          <w:tcPr>
            <w:tcW w:w="2179"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 CONTRATADA:</w:t>
            </w:r>
          </w:p>
        </w:tc>
        <w:tc>
          <w:tcPr>
            <w:tcW w:w="7884" w:type="dxa"/>
            <w:gridSpan w:val="3"/>
            <w:tcBorders>
              <w:top w:val="single" w:sz="18"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IRIBARREM E SAN MARTINS CONSULTORIA, ENGENHARIA IND. COM. MAQ. EQUIP. LTDA</w:t>
            </w:r>
          </w:p>
        </w:tc>
      </w:tr>
      <w:tr>
        <w:trPr>
          <w:trHeight w:val="247" w:hRule="atLeast"/>
        </w:trPr>
        <w:tc>
          <w:tcPr>
            <w:tcW w:w="2179"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2.1 Nome Fantasia:</w:t>
            </w:r>
          </w:p>
        </w:tc>
        <w:tc>
          <w:tcPr>
            <w:tcW w:w="7884" w:type="dxa"/>
            <w:gridSpan w:val="3"/>
            <w:tcBorders>
              <w:top w:val="single" w:sz="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GEBRAS</w:t>
            </w:r>
          </w:p>
        </w:tc>
      </w:tr>
      <w:tr>
        <w:trPr>
          <w:trHeight w:val="247" w:hRule="atLeast"/>
        </w:trPr>
        <w:tc>
          <w:tcPr>
            <w:tcW w:w="2179"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2.2 Endereço:</w:t>
            </w:r>
          </w:p>
        </w:tc>
        <w:tc>
          <w:tcPr>
            <w:tcW w:w="7884" w:type="dxa"/>
            <w:gridSpan w:val="3"/>
            <w:tcBorders>
              <w:top w:val="single" w:sz="4"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rPr>
              <w:t>Rua Dr Benjamin Gastal, nº 1019, Areal</w:t>
            </w:r>
          </w:p>
        </w:tc>
      </w:tr>
      <w:tr>
        <w:trPr>
          <w:trHeight w:val="247" w:hRule="atLeast"/>
        </w:trPr>
        <w:tc>
          <w:tcPr>
            <w:tcW w:w="2179"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2.3 Município/Estado:</w:t>
            </w:r>
          </w:p>
        </w:tc>
        <w:tc>
          <w:tcPr>
            <w:tcW w:w="1971"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lang w:val="en-US"/>
              </w:rPr>
              <w:t>Pelotas/RS</w:t>
            </w:r>
          </w:p>
        </w:tc>
        <w:tc>
          <w:tcPr>
            <w:tcW w:w="930"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lang w:val="en-US"/>
              </w:rPr>
              <w:t>2.4 CNPJ:</w:t>
            </w:r>
          </w:p>
        </w:tc>
        <w:tc>
          <w:tcPr>
            <w:tcW w:w="4983" w:type="dxa"/>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lang w:val="en-US"/>
              </w:rPr>
              <w:t>07.936.028/0001-84</w:t>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w:t>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537"/>
        <w:gridCol w:w="3582"/>
        <w:gridCol w:w="670"/>
        <w:gridCol w:w="1275"/>
        <w:gridCol w:w="2977"/>
      </w:tblGrid>
      <w:tr>
        <w:trPr>
          <w:trHeight w:val="402" w:hRule="atLeast"/>
        </w:trPr>
        <w:tc>
          <w:tcPr>
            <w:tcW w:w="1537" w:type="dxa"/>
            <w:tcBorders>
              <w:top w:val="single" w:sz="1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3. Objeto do Contrato:</w:t>
            </w:r>
          </w:p>
        </w:tc>
        <w:tc>
          <w:tcPr>
            <w:tcW w:w="8504" w:type="dxa"/>
            <w:gridSpan w:val="4"/>
            <w:tcBorders>
              <w:top w:val="single" w:sz="18" w:space="0" w:color="000000"/>
              <w:left w:val="single" w:sz="4" w:space="0" w:color="000000"/>
              <w:bottom w:val="single" w:sz="12"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objeto do presente contrato é a prestação de serviço em consultoria e assessoria para gestão de energia, com objetivo de redução de custo energético e aumento de sustentabilidade, atuando para melhoria do processo da operação e uso de energia elétrica do CONTRATANTE. Os planos de serviços oferecidos que farão parte do objeto contratado serão mais bem descritos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e serão prestados nas UCs do CONTRATANTE conforme descrito no item 4 a seguir.</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4. UCs para Gestão: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TIPO DE PLANO DE SERVIÇO</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QUANTIDADE DE UCs</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 SOLE Consultoria: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6</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(ii) SOLE Web:</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4</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(iii) Gestão ACL – Mercado Livre de Energia: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6</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(iv) Gestão Usina Fotovoltaica: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7</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(v) Gestão Continuada da Qualidade de Energia:</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highlight w:val="yellow"/>
              </w:rPr>
            </w:pPr>
            <w:r>
              <w:rPr>
                <w:rFonts w:cs="" w:ascii="Calibri" w:hAnsi="Calibri" w:asciiTheme="minorHAnsi" w:cstheme="minorBidi" w:hAnsiTheme="minorHAnsi"/>
                <w:sz w:val="18"/>
                <w:szCs w:val="18"/>
              </w:rPr>
              <w:t xml:space="preserve">5</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5. Preço do Contrato: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5.1 Mensalidade:</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 </w:t>
            </w:r>
            <w:r>
              <w:rPr>
                <w:rFonts w:cs="" w:ascii="Calibri" w:hAnsi="Calibri" w:asciiTheme="minorHAnsi" w:cstheme="minorBidi" w:hAnsiTheme="minorHAnsi"/>
                <w:sz w:val="18"/>
                <w:szCs w:val="18"/>
              </w:rPr>
              <w:t xml:space="preserve">R$ 789,00</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5.2 Preço de Implantação:</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R$ 7.000,00</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5.3 Honorários de Performance em Recursos:</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cstheme="minorBidi" w:ascii="Calibri" w:hAnsi="Calibri"/>
                <w:sz w:val="18"/>
                <w:szCs w:val="18"/>
              </w:rPr>
              <w:t xml:space="preserve">15%</w:t>
            </w:r>
          </w:p>
        </w:tc>
      </w:tr>
      <w:tr>
        <w:trPr>
          <w:trHeight w:val="144" w:hRule="atLeast"/>
        </w:trPr>
        <w:tc>
          <w:tcPr>
            <w:tcW w:w="1537" w:type="dxa"/>
            <w:tcBorders>
              <w:top w:val="single" w:sz="12" w:space="0" w:color="000000"/>
              <w:left w:val="single" w:sz="18" w:space="0" w:color="000000"/>
              <w:bottom w:val="single" w:sz="4"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6. Tipo Contrato:</w:t>
            </w:r>
          </w:p>
        </w:tc>
        <w:tc>
          <w:tcPr>
            <w:tcW w:w="3582" w:type="dxa"/>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Serviços de Gestão de Energia</w:t>
            </w:r>
          </w:p>
        </w:tc>
        <w:tc>
          <w:tcPr>
            <w:tcW w:w="1945" w:type="dxa"/>
            <w:gridSpan w:val="2"/>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7. Data do Contrato:</w:t>
            </w:r>
          </w:p>
        </w:tc>
        <w:tc>
          <w:tcPr>
            <w:tcW w:w="2977" w:type="dxa"/>
            <w:tcBorders>
              <w:top w:val="single" w:sz="12" w:space="0" w:color="000000"/>
              <w:left w:val="single" w:sz="4" w:space="0" w:color="000000"/>
              <w:bottom w:val="single" w:sz="4" w:space="0" w:color="000000"/>
              <w:right w:val="single" w:sz="18" w:space="0" w:color="000000"/>
            </w:tcBorders>
            <w:vAlign w:val="center"/>
          </w:tcPr>
          <w:p>
            <w:pPr>
              <w:pStyle w:val="Normal"/>
              <w:jc w:val="both"/>
              <w:rPr>
                <w:rFonts w:ascii="Calibri" w:hAnsi="Calibri" w:cs="" w:asciiTheme="minorHAnsi" w:cstheme="minorBidi" w:hAnsiTheme="minorHAnsi"/>
                <w:sz w:val="18"/>
                <w:szCs w:val="18"/>
              </w:rPr>
            </w:pPr>
            <w:r>
              <w:rPr>
                <w:rFonts w:cs="" w:cstheme="minorBidi"/>
              </w:rPr>
              <w:t xml:space="preserve">26/05/2026</w:t>
            </w:r>
          </w:p>
        </w:tc>
      </w:tr>
      <w:tr>
        <w:trPr>
          <w:trHeight w:val="46" w:hRule="atLeast"/>
        </w:trPr>
        <w:tc>
          <w:tcPr>
            <w:tcW w:w="1537" w:type="dxa"/>
            <w:tcBorders>
              <w:top w:val="single" w:sz="4" w:space="0" w:color="000000"/>
              <w:left w:val="single" w:sz="18" w:space="0" w:color="000000"/>
              <w:bottom w:val="single" w:sz="18"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8. Data de Início:</w:t>
            </w:r>
          </w:p>
        </w:tc>
        <w:tc>
          <w:tcPr>
            <w:tcW w:w="3582" w:type="dxa"/>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26/05/2026</w:t>
            </w:r>
          </w:p>
        </w:tc>
        <w:tc>
          <w:tcPr>
            <w:tcW w:w="1945" w:type="dxa"/>
            <w:gridSpan w:val="2"/>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9. Prazo (meses):</w:t>
            </w:r>
          </w:p>
        </w:tc>
        <w:tc>
          <w:tcPr>
            <w:tcW w:w="2977" w:type="dxa"/>
            <w:tcBorders>
              <w:top w:val="single" w:sz="4" w:space="0" w:color="000000"/>
              <w:left w:val="single" w:sz="4" w:space="0" w:color="000000"/>
              <w:bottom w:val="single" w:sz="18"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12 meses com renovação automática</w:t>
            </w:r>
          </w:p>
        </w:tc>
      </w:tr>
    </w:tbl>
    <w:p>
      <w:pPr>
        <w:pStyle w:val="Normal"/>
        <w:jc w:val="both"/>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819"/>
        <w:gridCol w:w="1844"/>
        <w:gridCol w:w="566"/>
        <w:gridCol w:w="426"/>
        <w:gridCol w:w="5386"/>
      </w:tblGrid>
      <w:tr>
        <w:trPr>
          <w:trHeight w:val="276" w:hRule="atLeast"/>
        </w:trPr>
        <w:tc>
          <w:tcPr>
            <w:tcW w:w="10041" w:type="dxa"/>
            <w:gridSpan w:val="5"/>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 CONDIÇÕES COMERCIAIS GERAIS</w:t>
            </w:r>
          </w:p>
        </w:tc>
      </w:tr>
      <w:tr>
        <w:trPr>
          <w:trHeight w:val="276" w:hRule="atLeast"/>
        </w:trPr>
        <w:tc>
          <w:tcPr>
            <w:tcW w:w="1819" w:type="dxa"/>
            <w:tcBorders>
              <w:top w:val="single" w:sz="4"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10.1 Nota Fiscal:</w:t>
            </w:r>
          </w:p>
        </w:tc>
        <w:tc>
          <w:tcPr>
            <w:tcW w:w="8222" w:type="dxa"/>
            <w:gridSpan w:val="4"/>
            <w:tcBorders>
              <w:top w:val="single" w:sz="4" w:space="0" w:color="000000"/>
              <w:left w:val="single" w:sz="2" w:space="0" w:color="000000"/>
              <w:bottom w:val="single" w:sz="2" w:space="0" w:color="000000"/>
              <w:right w:val="single" w:sz="18" w:space="0" w:color="000000"/>
            </w:tcBorders>
            <w:tcMar>
              <w:left w:w="22" w:type="dxa"/>
              <w:right w:w="22" w:type="dxa"/>
            </w:tcMar>
            <w:vAlign w:val="center"/>
          </w:tcPr>
          <w:p>
            <w:pPr>
              <w:pStyle w:val="ListParagraph"/>
              <w:ind w:left="235"/>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10.2 Data de Pagamento da Implantação:</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rPr>
            </w:pPr>
            <w:r>
              <w:rPr>
                <w:rFonts w:cs="" w:ascii="Calibri" w:hAnsi="Calibri" w:asciiTheme="minorHAnsi" w:cstheme="minorBidi" w:hAnsiTheme="minorHAnsi"/>
                <w:color w:val="auto"/>
                <w:sz w:val="20"/>
                <w:szCs w:val="20"/>
              </w:rPr>
              <w:t xml:space="preserve"> </w:t>
            </w:r>
            <w:r>
              <w:rPr>
                <w:rFonts w:cs="" w:ascii="Calibri" w:hAnsi="Calibri" w:asciiTheme="minorHAnsi" w:cstheme="minorBidi" w:hAnsiTheme="minorHAnsi"/>
                <w:color w:val="auto"/>
                <w:sz w:val="20"/>
                <w:szCs w:val="20"/>
              </w:rPr>
              <w:t xml:space="preserve">24/02/2026</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10.3 Data de Pagamento da Primeira Cobrança Mensal:</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highlight w:val="yellow"/>
              </w:rPr>
            </w:pPr>
            <w:r>
              <w:rPr>
                <w:rFonts w:cs="" w:ascii="Calibri" w:hAnsi="Calibri" w:asciiTheme="minorHAnsi" w:cstheme="minorBidi" w:hAnsiTheme="minorHAnsi"/>
                <w:color w:val="auto"/>
                <w:sz w:val="20"/>
                <w:szCs w:val="20"/>
              </w:rPr>
              <w:t xml:space="preserve"> </w:t>
            </w:r>
            <w:r>
              <w:rPr>
                <w:rFonts w:cs="" w:ascii="Calibri" w:hAnsi="Calibri" w:asciiTheme="minorHAnsi" w:cstheme="minorBidi" w:hAnsiTheme="minorHAnsi"/>
                <w:color w:val="auto"/>
                <w:sz w:val="20"/>
                <w:szCs w:val="20"/>
              </w:rPr>
              <w:t xml:space="preserve">27/02/2026</w:t>
            </w:r>
          </w:p>
        </w:tc>
      </w:tr>
      <w:tr>
        <w:trPr>
          <w:trHeight w:val="203"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10.4 Contato Financeiro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color w:themeColor="text1" w:val="000000"/>
                <w:sz w:val="18"/>
                <w:szCs w:val="18"/>
              </w:rPr>
              <w:t xml:space="preserve"> </w:t>
            </w:r>
            <w:r>
              <w:rPr>
                <w:rFonts w:cs="" w:ascii="Calibri" w:hAnsi="Calibri" w:asciiTheme="minorHAnsi" w:cstheme="minorBidi" w:hAnsiTheme="minorHAnsi"/>
                <w:color w:val="auto"/>
                <w:sz w:val="20"/>
                <w:szCs w:val="20"/>
              </w:rPr>
              <w:t xml:space="preserve">pedroterracorrea@hotmail.com</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10.5 Contato Gestor GEBRAS:</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lang w:val="en-GB"/>
              </w:rPr>
            </w:pPr>
            <w:r>
              <w:rPr>
                <w:rFonts w:cs="Calibri" w:ascii="Calibri" w:hAnsi="Calibri" w:asciiTheme="minorHAnsi" w:cstheme="minorHAnsi" w:hAnsiTheme="minorHAnsi"/>
                <w:color w:themeColor="text1" w:val="000000"/>
                <w:sz w:val="18"/>
                <w:szCs w:val="18"/>
                <w:lang w:val="en-GB"/>
              </w:rPr>
              <w:t xml:space="preserve"> </w:t>
            </w:r>
            <w:hyperlink r:id="rId3">
              <w:r>
                <w:rPr>
                  <w:rStyle w:val="Hyperlink"/>
                  <w:rFonts w:cs="Calibri" w:ascii="Calibri" w:hAnsi="Calibri" w:asciiTheme="minorHAnsi" w:cstheme="minorHAnsi" w:hAnsiTheme="minorHAnsi"/>
                  <w:sz w:val="18"/>
                  <w:szCs w:val="18"/>
                  <w:lang w:val="en-GB"/>
                </w:rPr>
                <w:t>gpo@gebras.com</w:t>
              </w:r>
            </w:hyperlink>
            <w:r>
              <w:rPr>
                <w:rFonts w:cs="Calibri" w:ascii="Calibri" w:hAnsi="Calibri" w:asciiTheme="minorHAnsi" w:cstheme="minorHAnsi" w:hAnsiTheme="minorHAnsi"/>
                <w:color w:themeColor="text1" w:val="000000"/>
                <w:sz w:val="18"/>
                <w:szCs w:val="18"/>
                <w:lang w:val="en-GB"/>
              </w:rPr>
              <w:t xml:space="preserve">; </w:t>
            </w:r>
            <w:r>
              <w:rPr>
                <w:rFonts w:cs="" w:ascii="Calibri" w:hAnsi="Calibri" w:asciiTheme="minorHAnsi" w:cstheme="minorBidi" w:hAnsiTheme="minorHAnsi"/>
                <w:color w:val="auto"/>
                <w:sz w:val="20"/>
                <w:szCs w:val="20"/>
                <w:lang w:val="en-GB"/>
              </w:rPr>
              <w:t xml:space="preserve">pedroterracorrea03@gmail.com</w:t>
            </w:r>
          </w:p>
        </w:tc>
      </w:tr>
      <w:tr>
        <w:trPr>
          <w:trHeight w:val="167"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10.6 Contato Gestor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 w:ascii="Calibri" w:hAnsi="Calibri" w:asciiTheme="minorHAnsi" w:cstheme="minorBidi" w:hAnsiTheme="minorHAnsi"/>
                <w:color w:val="auto"/>
                <w:sz w:val="20"/>
                <w:szCs w:val="20"/>
                <w:lang w:val="en-US"/>
              </w:rPr>
              <w:t xml:space="preserve"> </w:t>
            </w:r>
            <w:r>
              <w:rPr>
                <w:rFonts w:cs="" w:ascii="Calibri" w:hAnsi="Calibri" w:asciiTheme="minorHAnsi" w:cstheme="minorBidi" w:hAnsiTheme="minorHAnsi"/>
                <w:color w:val="auto"/>
                <w:sz w:val="20"/>
                <w:szCs w:val="20"/>
              </w:rPr>
              <w:t xml:space="preserve">biview53@gmail.com</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10.7 Forma de Cobrança:</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color w:val="FF0000"/>
                <w:sz w:val="18"/>
                <w:szCs w:val="18"/>
              </w:rPr>
              <w:t xml:space="preserve"> </w:t>
            </w:r>
            <w:r>
              <w:rPr>
                <w:rFonts w:cs="Calibri" w:ascii="Calibri" w:hAnsi="Calibri" w:asciiTheme="minorHAnsi" w:cstheme="minorHAnsi" w:hAnsiTheme="minorHAnsi"/>
                <w:color w:val="auto"/>
                <w:sz w:val="18"/>
                <w:szCs w:val="18"/>
              </w:rPr>
              <w:t>(__X__) Boleto       (_____) Deposito Bancário</w:t>
            </w:r>
          </w:p>
        </w:tc>
      </w:tr>
      <w:tr>
        <w:trPr>
          <w:trHeight w:val="163" w:hRule="atLeast"/>
        </w:trPr>
        <w:tc>
          <w:tcPr>
            <w:tcW w:w="4229" w:type="dxa"/>
            <w:gridSpan w:val="3"/>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10.8 Multa por Atraso no Pagamento:</w:t>
            </w:r>
          </w:p>
        </w:tc>
        <w:tc>
          <w:tcPr>
            <w:tcW w:w="5812" w:type="dxa"/>
            <w:gridSpan w:val="2"/>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sz w:val="18"/>
                <w:szCs w:val="18"/>
              </w:rPr>
              <w:t>2%</w:t>
            </w:r>
          </w:p>
        </w:tc>
      </w:tr>
      <w:tr>
        <w:trPr>
          <w:trHeight w:val="175" w:hRule="atLeast"/>
        </w:trPr>
        <w:tc>
          <w:tcPr>
            <w:tcW w:w="4229" w:type="dxa"/>
            <w:gridSpan w:val="3"/>
            <w:tcBorders>
              <w:top w:val="single" w:sz="2" w:space="0" w:color="000000"/>
              <w:left w:val="single" w:sz="18" w:space="0" w:color="000000"/>
              <w:bottom w:val="single" w:sz="18"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10.9 Correção Mensal por Atraso no Pagamento:</w:t>
            </w:r>
          </w:p>
        </w:tc>
        <w:tc>
          <w:tcPr>
            <w:tcW w:w="5812" w:type="dxa"/>
            <w:gridSpan w:val="2"/>
            <w:tcBorders>
              <w:top w:val="single" w:sz="2" w:space="0" w:color="000000"/>
              <w:left w:val="single" w:sz="2" w:space="0" w:color="000000"/>
              <w:bottom w:val="single" w:sz="18" w:space="0" w:color="000000"/>
              <w:right w:val="single" w:sz="18" w:space="0" w:color="000000"/>
            </w:tcBorders>
            <w:tcMar>
              <w:left w:w="22" w:type="dxa"/>
              <w:right w:w="22" w:type="dxa"/>
            </w:tcMar>
            <w:vAlign w:val="center"/>
          </w:tcPr>
          <w:p>
            <w:pPr>
              <w:pStyle w:val="NormalWeb"/>
              <w:spacing w:beforeAutospacing="0" w:before="0" w:afterAutospacing="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sz w:val="18"/>
                <w:szCs w:val="18"/>
              </w:rPr>
              <w:t>Índices Positivos IGP-M + 1% a.m.</w:t>
            </w:r>
          </w:p>
        </w:tc>
      </w:tr>
    </w:tbl>
    <w:p>
      <w:pPr>
        <w:pStyle w:val="Normal"/>
        <w:ind w:right="141"/>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0042"/>
      </w:tblGrid>
      <w:tr>
        <w:trPr>
          <w:trHeight w:val="276" w:hRule="atLeast"/>
        </w:trPr>
        <w:tc>
          <w:tcPr>
            <w:tcW w:w="10042" w:type="dxa"/>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Notas</w:t>
            </w:r>
          </w:p>
        </w:tc>
      </w:tr>
      <w:tr>
        <w:trPr>
          <w:trHeight w:val="512" w:hRule="atLeast"/>
        </w:trPr>
        <w:tc>
          <w:tcPr>
            <w:tcW w:w="10042" w:type="dxa"/>
            <w:tcBorders>
              <w:top w:val="single" w:sz="4" w:space="0" w:color="000000"/>
              <w:left w:val="single" w:sz="18" w:space="0" w:color="000000"/>
              <w:bottom w:val="single" w:sz="18" w:space="0" w:color="000000"/>
              <w:right w:val="single" w:sz="18" w:space="0" w:color="000000"/>
            </w:tcBorders>
            <w:vAlign w:val="center"/>
          </w:tcPr>
          <w:p>
            <w:pPr>
              <w:pStyle w:val="NormalWeb"/>
              <w:spacing w:before="100" w:after="100"/>
              <w:textAlignment w:val="bottom"/>
              <w:rPr>
                <w:rFonts w:ascii="Calibri" w:hAnsi="Calibri" w:cs="Calibri" w:asciiTheme="minorHAnsi" w:cstheme="minorHAnsi" w:hAnsiTheme="minorHAnsi"/>
                <w:sz w:val="18"/>
                <w:szCs w:val="18"/>
              </w:rPr>
            </w:pPr>
            <w:r>
              <w:rPr>
                <w:rFonts w:cs="Calibri" w:cstheme="minorHAnsi" w:ascii="Calibri" w:hAnsi="Calibri"/>
                <w:sz w:val="18"/>
                <w:szCs w:val="18"/>
              </w:rPr>
            </w:r>
          </w:p>
        </w:tc>
      </w:tr>
    </w:tbl>
    <w:p>
      <w:pPr>
        <w:pStyle w:val="Normal"/>
        <w:ind w:right="141"/>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GLOSSÁRIO</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
          <w:bCs/>
          <w:sz w:val="18"/>
          <w:szCs w:val="18"/>
        </w:rPr>
        <w:t>UC</w:t>
      </w:r>
      <w:r>
        <w:rPr>
          <w:rFonts w:cs="Calibri" w:ascii="Calibri" w:hAnsi="Calibri" w:asciiTheme="minorHAnsi" w:cstheme="minorHAnsi" w:hAnsiTheme="minorHAnsi"/>
          <w:sz w:val="18"/>
          <w:szCs w:val="18"/>
        </w:rPr>
        <w:t xml:space="preserve">: Unidade Consumidora // </w:t>
      </w:r>
      <w:r>
        <w:rPr>
          <w:rFonts w:cs="Calibri" w:ascii="Calibri" w:hAnsi="Calibri" w:asciiTheme="minorHAnsi" w:cstheme="minorHAnsi" w:hAnsiTheme="minorHAnsi"/>
          <w:b/>
          <w:bCs/>
          <w:sz w:val="18"/>
          <w:szCs w:val="18"/>
        </w:rPr>
        <w:t>ACL</w:t>
      </w:r>
      <w:r>
        <w:rPr>
          <w:rFonts w:cs="Calibri" w:ascii="Calibri" w:hAnsi="Calibri" w:asciiTheme="minorHAnsi" w:cstheme="minorHAnsi" w:hAnsiTheme="minorHAnsi"/>
          <w:sz w:val="18"/>
          <w:szCs w:val="18"/>
        </w:rPr>
        <w:t xml:space="preserve">: Ambiente de Contratação Livre (Mercado Livre de Energia) // </w:t>
      </w:r>
      <w:r>
        <w:rPr>
          <w:rFonts w:cs="Calibri" w:ascii="Calibri" w:hAnsi="Calibri" w:asciiTheme="minorHAnsi" w:cstheme="minorHAnsi" w:hAnsiTheme="minorHAnsi"/>
          <w:b/>
          <w:bCs/>
          <w:sz w:val="18"/>
          <w:szCs w:val="18"/>
        </w:rPr>
        <w:t>ACR</w:t>
      </w:r>
      <w:r>
        <w:rPr>
          <w:rFonts w:cs="Calibri" w:ascii="Calibri" w:hAnsi="Calibri" w:asciiTheme="minorHAnsi" w:cstheme="minorHAnsi" w:hAnsiTheme="minorHAnsi"/>
          <w:sz w:val="18"/>
          <w:szCs w:val="18"/>
        </w:rPr>
        <w:t xml:space="preserve">: Ambiente de Contratação Regulada (Mercado Cativo) // </w:t>
      </w:r>
      <w:r>
        <w:rPr>
          <w:rFonts w:cs="Calibri" w:ascii="Calibri" w:hAnsi="Calibri" w:asciiTheme="minorHAnsi" w:cstheme="minorHAnsi" w:hAnsiTheme="minorHAnsi"/>
          <w:b/>
          <w:bCs/>
          <w:sz w:val="18"/>
          <w:szCs w:val="18"/>
        </w:rPr>
        <w:t>CCEE:</w:t>
      </w:r>
      <w:r>
        <w:rPr>
          <w:rFonts w:cs="Calibri" w:ascii="Calibri" w:hAnsi="Calibri" w:asciiTheme="minorHAnsi" w:cstheme="minorHAnsi" w:hAnsiTheme="minorHAnsi"/>
          <w:sz w:val="18"/>
          <w:szCs w:val="18"/>
        </w:rPr>
        <w:t xml:space="preserve"> Câmara de Comercialização de Energia Elétrica // </w:t>
      </w:r>
      <w:r>
        <w:rPr>
          <w:rFonts w:cs="Calibri" w:ascii="Calibri" w:hAnsi="Calibri" w:asciiTheme="minorHAnsi" w:cstheme="minorHAnsi" w:hAnsiTheme="minorHAnsi"/>
          <w:b/>
          <w:bCs/>
          <w:sz w:val="18"/>
          <w:szCs w:val="18"/>
        </w:rPr>
        <w:t>SOLE</w:t>
      </w:r>
      <w:r>
        <w:rPr>
          <w:rFonts w:cs="Calibri" w:ascii="Calibri" w:hAnsi="Calibri" w:asciiTheme="minorHAnsi" w:cstheme="minorHAnsi" w:hAnsiTheme="minorHAnsi"/>
          <w:sz w:val="18"/>
          <w:szCs w:val="18"/>
        </w:rPr>
        <w:t xml:space="preserve">: Sistema Online de Energia // </w:t>
      </w:r>
      <w:r>
        <w:rPr>
          <w:rFonts w:cs="Calibri" w:ascii="Calibri" w:hAnsi="Calibri" w:asciiTheme="minorHAnsi" w:cstheme="minorHAnsi" w:hAnsiTheme="minorHAnsi"/>
          <w:b/>
          <w:bCs/>
          <w:sz w:val="18"/>
          <w:szCs w:val="18"/>
        </w:rPr>
        <w:t>SOLE Consultoria</w:t>
      </w:r>
      <w:r>
        <w:rPr>
          <w:rFonts w:cs="Calibri" w:ascii="Calibri" w:hAnsi="Calibri" w:asciiTheme="minorHAnsi" w:cstheme="minorHAnsi" w:hAnsiTheme="minorHAnsi"/>
          <w:sz w:val="18"/>
          <w:szCs w:val="18"/>
        </w:rPr>
        <w:t xml:space="preserve">: Tipo de plano de serviço de gestão de energia, descrito no Anexo I // </w:t>
      </w:r>
      <w:r>
        <w:rPr>
          <w:rFonts w:cs="Calibri" w:ascii="Calibri" w:hAnsi="Calibri" w:asciiTheme="minorHAnsi" w:cstheme="minorHAnsi" w:hAnsiTheme="minorHAnsi"/>
          <w:b/>
          <w:bCs/>
          <w:sz w:val="18"/>
          <w:szCs w:val="18"/>
        </w:rPr>
        <w:t>SOLE Web</w:t>
      </w:r>
      <w:r>
        <w:rPr>
          <w:rFonts w:cs="Calibri" w:ascii="Calibri" w:hAnsi="Calibri" w:asciiTheme="minorHAnsi" w:cstheme="minorHAnsi" w:hAnsiTheme="minorHAnsi"/>
          <w:sz w:val="18"/>
          <w:szCs w:val="18"/>
        </w:rPr>
        <w:t xml:space="preserve">: Tipo de plano de serviço de gestão de energia, descrito no Anexo I // </w:t>
      </w:r>
      <w:r>
        <w:rPr>
          <w:rFonts w:cs="Calibri" w:ascii="Calibri" w:hAnsi="Calibri" w:asciiTheme="minorHAnsi" w:cstheme="minorHAnsi" w:hAnsiTheme="minorHAnsi"/>
          <w:b/>
          <w:bCs/>
          <w:sz w:val="18"/>
          <w:szCs w:val="18"/>
        </w:rPr>
        <w:t>Gestão ACL – Mercado Livre</w:t>
      </w:r>
      <w:r>
        <w:rPr>
          <w:rFonts w:cs="Calibri" w:ascii="Calibri" w:hAnsi="Calibri" w:asciiTheme="minorHAnsi" w:cstheme="minorHAnsi" w:hAnsiTheme="minorHAnsi"/>
          <w:sz w:val="18"/>
          <w:szCs w:val="18"/>
        </w:rPr>
        <w:t>: Tipo de plano de serviço de gestão de energia, descrito no Anexo I //</w:t>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rPr>
          <w:rFonts w:ascii="Calibri" w:hAnsi="Calibri" w:cs="Calibri" w:asciiTheme="minorHAnsi" w:cstheme="minorHAnsi" w:hAnsiTheme="minorHAnsi"/>
          <w:b/>
          <w:sz w:val="24"/>
          <w:szCs w:val="24"/>
          <w:u w:val="single"/>
        </w:rPr>
      </w:pPr>
      <w:r>
        <w:rPr>
          <w:rFonts w:cs="Calibri" w:cstheme="minorHAnsi" w:ascii="Calibri" w:hAnsi="Calibri"/>
          <w:b/>
          <w:sz w:val="24"/>
          <w:szCs w:val="24"/>
          <w:u w:val="single"/>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993" w:right="850" w:gutter="0" w:header="426" w:top="706" w:footer="0" w:bottom="851"/>
          <w:pgNumType w:fmt="decimal"/>
          <w:formProt w:val="false"/>
          <w:titlePg/>
          <w:textDirection w:val="lrTb"/>
          <w:docGrid w:type="default" w:linePitch="272" w:charSpace="8192"/>
        </w:sectPr>
      </w:pP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DISPOSIÇÕES GERAIS</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PRIMEIRA:</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Cs/>
          <w:sz w:val="18"/>
          <w:szCs w:val="18"/>
        </w:rPr>
        <w:t>Os serviços contratados nesse instrumento, nos casos em que as unidades consumidoras já possuíam contrato de serviço vigente anterior, os valores e serviços aqui indicados para essas UCs passam a somar os anteriores como aditivo.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CLÁUSULA SEGUNDA</w:t>
      </w:r>
      <w:r>
        <w:rPr>
          <w:rFonts w:cs="Calibri" w:ascii="Calibri" w:hAnsi="Calibri" w:asciiTheme="minorHAnsi" w:cstheme="minorHAnsi" w:hAnsiTheme="minorHAnsi"/>
          <w:sz w:val="18"/>
          <w:szCs w:val="18"/>
        </w:rPr>
        <w:t>: Todos os serviços que não estejam listados no campo “</w:t>
      </w:r>
      <w:r>
        <w:rPr>
          <w:rFonts w:cs="Calibri" w:ascii="Calibri" w:hAnsi="Calibri" w:asciiTheme="minorHAnsi" w:cstheme="minorHAnsi" w:hAnsiTheme="minorHAnsi"/>
          <w:b/>
          <w:bCs/>
          <w:sz w:val="18"/>
          <w:szCs w:val="18"/>
        </w:rPr>
        <w:t>OBJETO DO CONTRATO</w:t>
      </w:r>
      <w:r>
        <w:rPr>
          <w:rFonts w:cs="Calibri" w:ascii="Calibri" w:hAnsi="Calibri" w:asciiTheme="minorHAnsi" w:cstheme="minorHAnsi" w:hAnsiTheme="minorHAnsi"/>
          <w:sz w:val="18"/>
          <w:szCs w:val="18"/>
        </w:rPr>
        <w:t>” e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que não sejam rigorosamente essenciais à realização do(s) serviço(s) contratado(s) estão excluídos das obrigações da CONTRATADA e serão cotados pontualmente com respectivo envio de despesas para análise a aprovação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Não se inserem neste contrato eventuais modificações estruturais e obras a serem realizadas para efetiva adequação dos serviços contratados.</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TERCEIRA</w:t>
      </w:r>
      <w:r>
        <w:rPr>
          <w:rFonts w:cs="Calibri" w:ascii="Calibri" w:hAnsi="Calibri" w:asciiTheme="minorHAnsi" w:cstheme="minorHAnsi" w:hAnsiTheme="minorHAnsi"/>
          <w:sz w:val="18"/>
          <w:szCs w:val="18"/>
        </w:rPr>
        <w:t xml:space="preserve">: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optará e determinará na assinatura deste contrato, conforme descrito e listado no item 4 do Quadro Resumo, o total de UCs para cada tipo de </w:t>
      </w:r>
      <w:r>
        <w:rPr>
          <w:rFonts w:cs="Calibri" w:ascii="Calibri" w:hAnsi="Calibri" w:asciiTheme="minorHAnsi" w:cstheme="minorHAnsi" w:hAnsiTheme="minorHAnsi"/>
          <w:i/>
          <w:iCs/>
          <w:sz w:val="18"/>
          <w:szCs w:val="18"/>
        </w:rPr>
        <w:t>Plano de Serviço de Gestão de Energia</w:t>
      </w:r>
      <w:r>
        <w:rPr>
          <w:rFonts w:cs="Calibri" w:ascii="Calibri" w:hAnsi="Calibri" w:asciiTheme="minorHAnsi" w:cstheme="minorHAnsi" w:hAnsiTheme="minorHAnsi"/>
          <w:sz w:val="18"/>
          <w:szCs w:val="18"/>
        </w:rPr>
        <w:t>, quais sejam: (i) SOLE Consultoria; (ii) SOLE Web; (iii) Gestão ACL - Mercado Livre de Energia; (iv) Gestão de Usina Fotovoltaica; (v) Gestão Continuada da Qualidade de Energia</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Primeiro</w:t>
      </w:r>
      <w:r>
        <w:rPr>
          <w:rFonts w:cs="Calibri" w:ascii="Calibri" w:hAnsi="Calibri" w:asciiTheme="minorHAnsi" w:cstheme="minorHAnsi" w:hAnsiTheme="minorHAnsi"/>
          <w:sz w:val="18"/>
          <w:szCs w:val="18"/>
        </w:rPr>
        <w:t xml:space="preserve">: A descrição pormenorizada de cada um dos serviços oferecidos, conforme </w:t>
      </w:r>
      <w:r>
        <w:rPr>
          <w:rFonts w:cs="Calibri" w:ascii="Calibri" w:hAnsi="Calibri" w:asciiTheme="minorHAnsi" w:cstheme="minorHAnsi" w:hAnsiTheme="minorHAnsi"/>
          <w:i/>
          <w:iCs/>
          <w:sz w:val="18"/>
          <w:szCs w:val="18"/>
        </w:rPr>
        <w:t>caput</w:t>
      </w:r>
      <w:r>
        <w:rPr>
          <w:rFonts w:cs="Calibri" w:ascii="Calibri" w:hAnsi="Calibri" w:asciiTheme="minorHAnsi" w:cstheme="minorHAnsi" w:hAnsiTheme="minorHAnsi"/>
          <w:sz w:val="18"/>
          <w:szCs w:val="18"/>
        </w:rPr>
        <w:t>, encontra-se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deste contrato.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Segundo</w:t>
      </w:r>
      <w:r>
        <w:rPr>
          <w:rFonts w:cs="Calibri" w:ascii="Calibri" w:hAnsi="Calibri" w:asciiTheme="minorHAnsi" w:cstheme="minorHAnsi" w:hAnsiTheme="minorHAnsi"/>
          <w:sz w:val="18"/>
          <w:szCs w:val="18"/>
        </w:rPr>
        <w:t xml:space="preserve">: É facultado ao CONTRATANTE, havendo mais de uma UC em sua titularidade, que sejam contratados serviços de gestão de energia distintos para cada UC, conforme descrito no </w:t>
      </w:r>
      <w:r>
        <w:rPr>
          <w:rFonts w:cs="Calibri" w:ascii="Calibri" w:hAnsi="Calibri" w:asciiTheme="minorHAnsi" w:cstheme="minorHAnsi" w:hAnsiTheme="minorHAnsi"/>
          <w:i/>
          <w:iCs/>
          <w:sz w:val="18"/>
          <w:szCs w:val="18"/>
        </w:rPr>
        <w:t xml:space="preserve">caput </w:t>
      </w:r>
      <w:r>
        <w:rPr>
          <w:rFonts w:cs="Calibri" w:ascii="Calibri" w:hAnsi="Calibri" w:asciiTheme="minorHAnsi" w:cstheme="minorHAnsi" w:hAnsiTheme="minorHAnsi"/>
          <w:sz w:val="18"/>
          <w:szCs w:val="18"/>
        </w:rPr>
        <w:t>e item “4” do Quadro Resumo.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Terceiro</w:t>
      </w:r>
      <w:r>
        <w:rPr>
          <w:rFonts w:cs="Calibri" w:ascii="Calibri" w:hAnsi="Calibri" w:asciiTheme="minorHAnsi" w:cstheme="minorHAnsi" w:hAnsiTheme="minorHAnsi"/>
          <w:sz w:val="18"/>
          <w:szCs w:val="18"/>
        </w:rPr>
        <w:t>: Afora os serviços descritos nos planos do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manejará Recursos Administrativos, </w:t>
      </w:r>
      <w:r>
        <w:rPr>
          <w:rFonts w:cs="Calibri" w:ascii="Calibri" w:hAnsi="Calibri" w:asciiTheme="minorHAnsi" w:cstheme="minorHAnsi" w:hAnsiTheme="minorHAnsi"/>
          <w:bCs/>
          <w:sz w:val="18"/>
          <w:szCs w:val="18"/>
        </w:rPr>
        <w:t xml:space="preserve">preliminarmente informando e buscando aceite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sz w:val="18"/>
          <w:szCs w:val="18"/>
        </w:rPr>
        <w:t xml:space="preserve"> , nas diversas esferas do setor de energia, com o objetivo de regularizar e corrigir cobranças indevidas, buscar indenizações administrativas, aplicação de sanções e demais ações que busquem os direitos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junto às distribuidoras e outras instituições, havendo para tal a contraprestação de pagamento por parte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prevista no “Parágrafo Primeiro” da “Cláusula Dez” deste contrato.</w:t>
      </w:r>
    </w:p>
    <w:p>
      <w:pPr>
        <w:pStyle w:val="Normal"/>
        <w:spacing w:before="60" w:after="60"/>
        <w:ind w:right="-1"/>
        <w:jc w:val="both"/>
        <w:rPr>
          <w:rFonts w:ascii="Calibri" w:hAnsi="Calibri" w:cs="Calibri" w:asciiTheme="minorHAnsi" w:cstheme="minorHAnsi" w:hAnsiTheme="minorHAnsi"/>
          <w:bCs/>
          <w:color w:val="FF0000"/>
          <w:sz w:val="18"/>
          <w:szCs w:val="18"/>
        </w:rPr>
      </w:pPr>
      <w:r>
        <w:rPr>
          <w:rFonts w:cs="Calibri" w:ascii="Calibri" w:hAnsi="Calibri" w:asciiTheme="minorHAnsi" w:cstheme="minorHAnsi" w:hAnsiTheme="minorHAnsi"/>
          <w:b/>
          <w:sz w:val="18"/>
          <w:szCs w:val="18"/>
        </w:rPr>
        <w:t>CLÁUSULA QUARTA:</w:t>
      </w:r>
      <w:r>
        <w:rPr>
          <w:rFonts w:cs="Calibri" w:ascii="Calibri" w:hAnsi="Calibri" w:asciiTheme="minorHAnsi" w:cstheme="minorHAnsi" w:hAnsiTheme="minorHAnsi"/>
          <w:bCs/>
          <w:color w:val="FF0000"/>
          <w:sz w:val="18"/>
          <w:szCs w:val="18"/>
        </w:rPr>
        <w:t xml:space="preserve"> </w:t>
      </w:r>
      <w:r>
        <w:rPr>
          <w:rFonts w:cs="Calibri" w:ascii="Calibri" w:hAnsi="Calibri" w:asciiTheme="minorHAnsi" w:cstheme="minorHAnsi" w:hAnsiTheme="minorHAnsi"/>
          <w:bCs/>
          <w:sz w:val="18"/>
          <w:szCs w:val="18"/>
        </w:rPr>
        <w:t xml:space="preserve">Na contratação de serviço de monitoramento online (SOLE – WEB), é responsabilidade da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a instalação do “HARDWARE SOLE” e sua manutenção. Verificado o mau uso ou em contrariedade às orientações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o reparo do equipamento e despesas de mão-de-obra correrão por conta deste.</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QUINTA:</w:t>
      </w:r>
      <w:r>
        <w:rPr>
          <w:rFonts w:cs="Calibri" w:ascii="Calibri" w:hAnsi="Calibri" w:asciiTheme="minorHAnsi" w:cstheme="minorHAnsi" w:hAnsiTheme="minorHAnsi"/>
          <w:bCs/>
          <w:sz w:val="18"/>
          <w:szCs w:val="18"/>
        </w:rPr>
        <w:t xml:space="preserve"> Na contratação do serviço de monitoramento online (SOLE – WEB), a CONTRATADA se obriga a manter o sistema em pleno funcionamento, conferindo acesso ininterrupto ao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com todas as informações coletadas, inclusive aquelas de telemetria a serem disponibilizadas entre o “HARDWARE SOLE” e o servidor de dados, outorgando acesso apenas ao(s) usuário(s) definido(s)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Cs/>
          <w:sz w:val="18"/>
          <w:szCs w:val="18"/>
        </w:rPr>
        <w:tab/>
      </w:r>
      <w:r>
        <w:rPr>
          <w:rFonts w:cs="Calibri" w:ascii="Calibri" w:hAnsi="Calibri" w:asciiTheme="minorHAnsi" w:cstheme="minorHAnsi" w:hAnsiTheme="minorHAnsi"/>
          <w:b/>
          <w:sz w:val="18"/>
          <w:szCs w:val="18"/>
        </w:rPr>
        <w:t>Parágrafo Único</w:t>
      </w:r>
      <w:r>
        <w:rPr>
          <w:rFonts w:cs="Calibri" w:ascii="Calibri" w:hAnsi="Calibri" w:asciiTheme="minorHAnsi" w:cstheme="minorHAnsi" w:hAnsiTheme="minorHAnsi"/>
          <w:bCs/>
          <w:sz w:val="18"/>
          <w:szCs w:val="18"/>
        </w:rPr>
        <w:t>: O CONTRATANTE fica alertado que por motivos alheios à vontade da CONTRATADA poderá ocorrer período(s) em que o monitoramento de dados fique prejudicado. Nesta hipótese, havendo a perda de apuração de dados por período superior a 15 (quinze) dias consecutivos, será concedido desconto na mensalidade acordada à razão de 20% (vinte por cento) sobre a UC respectiva que tenha ocorrido o prejuízo, salvo eventos notórios de caso fortuito ou força maior.</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SEXTA:</w:t>
      </w:r>
      <w:r>
        <w:rPr>
          <w:rFonts w:cs="Calibri" w:ascii="Calibri" w:hAnsi="Calibri" w:asciiTheme="minorHAnsi" w:cstheme="minorHAnsi" w:hAnsiTheme="minorHAnsi"/>
          <w:bCs/>
          <w:sz w:val="18"/>
          <w:szCs w:val="18"/>
        </w:rPr>
        <w:t xml:space="preserve"> As análises apresentadas, com estimativas de valores e economias são simulações com máxima precisão realizada </w:t>
      </w:r>
      <w:r>
        <w:rPr>
          <w:rFonts w:cs="Calibri" w:ascii="Calibri" w:hAnsi="Calibri" w:asciiTheme="minorHAnsi" w:cstheme="minorHAnsi" w:hAnsiTheme="minorHAnsi"/>
          <w:bCs/>
          <w:sz w:val="18"/>
          <w:szCs w:val="18"/>
          <w:u w:val="single"/>
        </w:rPr>
        <w:t>no momento do estudo e confecção da apresentação da planilha</w:t>
      </w:r>
      <w:r>
        <w:rPr>
          <w:rFonts w:cs="Calibri" w:ascii="Calibri" w:hAnsi="Calibri" w:asciiTheme="minorHAnsi" w:cstheme="minorHAnsi" w:hAnsiTheme="minorHAnsi"/>
          <w:bCs/>
          <w:sz w:val="18"/>
          <w:szCs w:val="18"/>
        </w:rPr>
        <w:t xml:space="preserve">, sendo que os valores apontados podem sofrer variações por motivos alheios à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tais como: mudança de legislação, mudança de indexadores, fatores climáticos, etc. As estimativas apresentadas, sejam da economia projetada, quanto das despesas com o custo da operação, podem, portanto, sofrer alterações não apenas entre a apresentação e a contratação, como ao longo da gestão realizada pela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color w:val="FF0000"/>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 xml:space="preserve">CLÁUSULA SÉTIMA: </w:t>
      </w:r>
      <w:r>
        <w:rPr>
          <w:rFonts w:cs="Calibri" w:ascii="Calibri" w:hAnsi="Calibri" w:asciiTheme="minorHAnsi" w:cstheme="minorHAnsi" w:hAnsiTheme="minorHAnsi"/>
          <w:bCs/>
          <w:sz w:val="18"/>
          <w:szCs w:val="18"/>
        </w:rPr>
        <w:t xml:space="preserve">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confere à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exclusividade para realizar sua representação e operação, em seu nome e referente à(s) unidade(s) consumidora(s) destacada(s) no presente, no Ambiente de Contratação Livre e Regulado, junto aos órgãos, empresas e instituições do setor de energia.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 xml:space="preserve">CLÁUSULA OITAVA: </w:t>
      </w:r>
      <w:r>
        <w:rPr>
          <w:rFonts w:cs="Calibri" w:ascii="Calibri" w:hAnsi="Calibri" w:asciiTheme="minorHAnsi" w:cstheme="minorHAnsi" w:hAnsiTheme="minorHAnsi"/>
          <w:bCs/>
          <w:sz w:val="18"/>
          <w:szCs w:val="18"/>
        </w:rPr>
        <w:t xml:space="preserve">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em qualquer modalidade de contratação, </w:t>
      </w:r>
      <w:r>
        <w:rPr>
          <w:rFonts w:cs="Calibri" w:ascii="Calibri" w:hAnsi="Calibri" w:asciiTheme="minorHAnsi" w:cstheme="minorHAnsi" w:hAnsiTheme="minorHAnsi"/>
          <w:sz w:val="18"/>
          <w:szCs w:val="18"/>
        </w:rPr>
        <w:t xml:space="preserve">obriga-se a: (i) fornecer todos os dados, informações e documentos necessários à execução dos serviços contratados no prazo estabelecido de comum acordo entre as partes contratantes na forma mais adequada; (ii) pagar na forma pactuada os valores estabelecidos neste instrumento; (iii) indicar, caso necessário para a atividade contratada, equipe técnica própria para assessorar a equipe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no cumprimento de suas obrigações; (iv) reunir-se com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 sede desta, sempre que se fizer necessário; (v) franquear acesso, sempre que necessário, à equipe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em suas instalações para o fiel cumprimento do objeto contratado; (vi) indicar 1 (um) preposto com poder de decisão para centralizar os contatos com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(vi) comunicar por escrito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sempre que verificar algum defeito no funcionamento de equipamentos entregues em comodato para a fiel execução do serviço contratado.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DOS ADITIVOS CONTRATUAIS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bCs/>
          <w:sz w:val="18"/>
          <w:szCs w:val="18"/>
        </w:rPr>
        <w:t>CLÁUSULA NONA</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Cs/>
          <w:sz w:val="18"/>
          <w:szCs w:val="18"/>
        </w:rPr>
        <w:t xml:space="preserve">Ajustam as partes, como forma de prestar maior celeridade e efetividade à prestação do(s) serviço(s) contratado(s), que na hipótese de ajustarem regra que modifique os termos contratuais, adicionando, suprimindo ou alterando cláusula vigente, o ajuste poderá dispensar a necessidade de formalização de aditivo contratual, sendo que, uma vez preservada a manifestação expressa de suas vontades e ciência inequívoca das partes, servirá como aditivo contratual para os fins legais a comunicação via e-mail e outros meios telemáticos.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Neste caso, para que a manifestação expressa de suas vontades surta os efeitos legais, os seguintes pontos devem ser destacados via e-mail ou outros meios telemáticos: </w:t>
      </w:r>
      <w:r>
        <w:rPr>
          <w:rFonts w:cs="Calibri" w:ascii="Calibri" w:hAnsi="Calibri" w:asciiTheme="minorHAnsi" w:cstheme="minorHAnsi" w:hAnsiTheme="minorHAnsi"/>
          <w:b/>
          <w:sz w:val="18"/>
          <w:szCs w:val="18"/>
        </w:rPr>
        <w:t>1.</w:t>
      </w:r>
      <w:r>
        <w:rPr>
          <w:rFonts w:cs="Calibri" w:ascii="Calibri" w:hAnsi="Calibri" w:asciiTheme="minorHAnsi" w:cstheme="minorHAnsi" w:hAnsiTheme="minorHAnsi"/>
          <w:bCs/>
          <w:sz w:val="18"/>
          <w:szCs w:val="18"/>
        </w:rPr>
        <w:t xml:space="preserve"> Objeto do aditivo; </w:t>
      </w:r>
      <w:r>
        <w:rPr>
          <w:rFonts w:cs="Calibri" w:ascii="Calibri" w:hAnsi="Calibri" w:asciiTheme="minorHAnsi" w:cstheme="minorHAnsi" w:hAnsiTheme="minorHAnsi"/>
          <w:b/>
          <w:sz w:val="18"/>
          <w:szCs w:val="18"/>
        </w:rPr>
        <w:t>2.</w:t>
      </w:r>
      <w:r>
        <w:rPr>
          <w:rFonts w:cs="Calibri" w:ascii="Calibri" w:hAnsi="Calibri" w:asciiTheme="minorHAnsi" w:cstheme="minorHAnsi" w:hAnsiTheme="minorHAnsi"/>
          <w:bCs/>
          <w:sz w:val="18"/>
          <w:szCs w:val="18"/>
        </w:rPr>
        <w:t xml:space="preserve"> Cláusula que será ajustada, inserindo a redação da cláusula a ser inserida, suprimida ou alterada; </w:t>
      </w:r>
      <w:r>
        <w:rPr>
          <w:rFonts w:cs="Calibri" w:ascii="Calibri" w:hAnsi="Calibri" w:asciiTheme="minorHAnsi" w:cstheme="minorHAnsi" w:hAnsiTheme="minorHAnsi"/>
          <w:b/>
          <w:sz w:val="18"/>
          <w:szCs w:val="18"/>
        </w:rPr>
        <w:t xml:space="preserve">3. </w:t>
      </w:r>
      <w:r>
        <w:rPr>
          <w:rFonts w:cs="Calibri" w:ascii="Calibri" w:hAnsi="Calibri" w:asciiTheme="minorHAnsi" w:cstheme="minorHAnsi" w:hAnsiTheme="minorHAnsi"/>
          <w:bCs/>
          <w:sz w:val="18"/>
          <w:szCs w:val="18"/>
        </w:rPr>
        <w:t>Manifestação expressa de ambas as partes, via e-mail, com a confirmação que contenha a expressão “</w:t>
      </w:r>
      <w:r>
        <w:rPr>
          <w:rFonts w:cs="Calibri" w:ascii="Calibri" w:hAnsi="Calibri" w:asciiTheme="minorHAnsi" w:cstheme="minorHAnsi" w:hAnsiTheme="minorHAnsi"/>
          <w:bCs/>
          <w:i/>
          <w:iCs/>
          <w:sz w:val="18"/>
          <w:szCs w:val="18"/>
          <w:u w:val="single"/>
        </w:rPr>
        <w:t>CIENTE E DE ACORDO</w:t>
      </w:r>
      <w:r>
        <w:rPr>
          <w:rFonts w:cs="Calibri" w:ascii="Calibri" w:hAnsi="Calibri" w:asciiTheme="minorHAnsi" w:cstheme="minorHAnsi" w:hAnsiTheme="minorHAns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Segundo</w:t>
      </w:r>
      <w:r>
        <w:rPr>
          <w:rFonts w:cs="Calibri" w:ascii="Calibri" w:hAnsi="Calibri" w:asciiTheme="minorHAnsi" w:cstheme="minorHAnsi" w:hAnsiTheme="minorHAnsi"/>
          <w:bCs/>
          <w:sz w:val="18"/>
          <w:szCs w:val="18"/>
        </w:rPr>
        <w:t>: Além das cláusulas ora pactuadas, as partes poderão alterar, da mesma forma, a natureza do serviço contratado, conforme campo “</w:t>
      </w:r>
      <w:r>
        <w:rPr>
          <w:rFonts w:cs="Calibri" w:ascii="Calibri" w:hAnsi="Calibri" w:asciiTheme="minorHAnsi" w:cstheme="minorHAnsi" w:hAnsiTheme="minorHAnsi"/>
          <w:b/>
          <w:sz w:val="18"/>
          <w:szCs w:val="18"/>
        </w:rPr>
        <w:t>OBJETO DO CONTRATO</w:t>
      </w:r>
      <w:r>
        <w:rPr>
          <w:rFonts w:cs="Calibri" w:ascii="Calibri" w:hAnsi="Calibri" w:asciiTheme="minorHAnsi" w:cstheme="minorHAnsi" w:hAnsiTheme="minorHAnsi"/>
          <w:bCs/>
          <w:sz w:val="18"/>
          <w:szCs w:val="18"/>
        </w:rPr>
        <w:t>” do preâmbulo deste instrumento, migrando para as diversas formas de contratação e planos de serviço ofertados pela CONTRATADA.</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Terceiro</w:t>
      </w:r>
      <w:r>
        <w:rPr>
          <w:rFonts w:cs="Calibri" w:ascii="Calibri" w:hAnsi="Calibri" w:asciiTheme="minorHAnsi" w:cstheme="minorHAnsi" w:hAnsiTheme="minorHAnsi"/>
          <w:bCs/>
          <w:sz w:val="18"/>
          <w:szCs w:val="18"/>
        </w:rPr>
        <w:t>: Para tanto, as partes, informam neste ato, no “Quadro Resumo” deste instrumento, seus respectivos contatos para o atendimento desta condição, servindo os mesmos contatos informados para receberem eventuais notificações decorrentes do contrato firmado.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DOS PAGAMENTOS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DEZ</w:t>
      </w:r>
      <w:r>
        <w:rPr>
          <w:rFonts w:cs="Calibri" w:ascii="Calibri" w:hAnsi="Calibri" w:asciiTheme="minorHAnsi" w:cstheme="minorHAnsi" w:hAnsiTheme="minorHAnsi"/>
          <w:bCs/>
          <w:sz w:val="18"/>
          <w:szCs w:val="18"/>
        </w:rPr>
        <w:t>: Em contraprestação ao(s) serviço(s) prestados, deverão ser respeitados os valores e condições delimitados no campo “</w:t>
      </w:r>
      <w:r>
        <w:rPr>
          <w:rFonts w:cs="Calibri" w:ascii="Calibri" w:hAnsi="Calibri" w:asciiTheme="minorHAnsi" w:cstheme="minorHAnsi" w:hAnsiTheme="minorHAnsi"/>
          <w:b/>
          <w:sz w:val="18"/>
          <w:szCs w:val="18"/>
        </w:rPr>
        <w:t>DO PREÇO</w:t>
      </w:r>
      <w:r>
        <w:rPr>
          <w:rFonts w:cs="Calibri" w:ascii="Calibri" w:hAnsi="Calibri" w:asciiTheme="minorHAnsi" w:cstheme="minorHAnsi" w:hAnsiTheme="minorHAnsi"/>
          <w:bCs/>
          <w:sz w:val="18"/>
          <w:szCs w:val="18"/>
        </w:rPr>
        <w:t>”</w:t>
      </w:r>
      <w:r>
        <w:rPr>
          <w:rFonts w:cs="Calibri" w:ascii="Calibri" w:hAnsi="Calibri" w:asciiTheme="minorHAnsi" w:cstheme="minorHAnsi" w:hAnsiTheme="minorHAnsi"/>
          <w:sz w:val="18"/>
          <w:szCs w:val="18"/>
        </w:rPr>
        <w:t xml:space="preserve">, item 5 do Quadro Resumo </w:t>
      </w:r>
      <w:r>
        <w:rPr>
          <w:rFonts w:cs="Calibri" w:ascii="Calibri" w:hAnsi="Calibri" w:asciiTheme="minorHAnsi" w:cstheme="minorHAnsi" w:hAnsiTheme="minorHAnsi"/>
          <w:bCs/>
          <w:sz w:val="18"/>
          <w:szCs w:val="18"/>
        </w:rPr>
        <w:t xml:space="preserve">deste instrumento.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Havendo Recurso Administrativo, seja para revisão de valores cobrados indevidamente, seja para aplicação de penalidades administrativas, seja para ressarcimentos indenizatórios administrativos, ou outras formas de atuação administrativa no que tange descumprimentos legais e regulatórios por parte da concessionária de energia e/ou demais agentes setoriais, incluído aí valores de proveito econômico em dobro, correções monetárias, juros e multas, atuações essas manejadas pela </w:t>
      </w:r>
      <w:r>
        <w:rPr>
          <w:rFonts w:cs="Calibri" w:ascii="Calibri" w:hAnsi="Calibri" w:asciiTheme="minorHAnsi" w:cstheme="minorHAnsi" w:hAnsiTheme="minorHAnsi"/>
          <w:b/>
          <w:sz w:val="18"/>
          <w:szCs w:val="18"/>
        </w:rPr>
        <w:t xml:space="preserve">CONTRATADA </w:t>
      </w:r>
      <w:r>
        <w:rPr>
          <w:rFonts w:cs="Calibri" w:ascii="Calibri" w:hAnsi="Calibri" w:asciiTheme="minorHAnsi" w:cstheme="minorHAnsi" w:hAnsiTheme="minorHAnsi"/>
          <w:bCs/>
          <w:sz w:val="18"/>
          <w:szCs w:val="18"/>
        </w:rPr>
        <w:t xml:space="preserve">e aceitas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sobre o proveito econômico obtido 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será remunerada pela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à razão percentual descrita no item 5.3 do Quatro Resumo, aplicada sobreo proveito obtido, em pagamento que deverá se dar em até 30 (trinta) dias da consolidação do proveito econômico em favor da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sem prejuízo das mensalidades regulares devidas, conforme </w:t>
      </w:r>
      <w:r>
        <w:rPr>
          <w:rFonts w:cs="Calibri" w:ascii="Calibri" w:hAnsi="Calibri" w:asciiTheme="minorHAnsi" w:cstheme="minorHAnsi" w:hAnsiTheme="minorHAnsi"/>
          <w:bCs/>
          <w:i/>
          <w:iCs/>
          <w:sz w:val="18"/>
          <w:szCs w:val="18"/>
        </w:rPr>
        <w:t>caput</w:t>
      </w:r>
      <w:r>
        <w:rPr>
          <w:rFonts w:cs="Calibri" w:ascii="Calibri" w:hAnsi="Calibri" w:asciiTheme="minorHAnsi" w:cstheme="minorHAnsi" w:hAnsiTheme="minorHAns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Segundo:</w:t>
      </w:r>
      <w:r>
        <w:rPr>
          <w:rFonts w:cs="Calibri" w:ascii="Calibri" w:hAnsi="Calibri" w:asciiTheme="minorHAnsi" w:cstheme="minorHAnsi" w:hAnsiTheme="minorHAnsi"/>
          <w:bCs/>
          <w:sz w:val="18"/>
          <w:szCs w:val="18"/>
        </w:rPr>
        <w:t xml:space="preserve"> Os valores ajustados, independente do objeto contratado e desde que tratem de prestações consecutivas, mensais ou não, serão reajustados anualmente pelos índices positivos do INPC, ou na falta deste índice, por outro índice previamente informado pela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Parágrafo Terceiro:</w:t>
      </w:r>
      <w:r>
        <w:rPr>
          <w:rFonts w:cs="Calibri" w:ascii="Calibri" w:hAnsi="Calibri" w:asciiTheme="minorHAnsi" w:cstheme="minorHAnsi" w:hAnsiTheme="minorHAnsi"/>
          <w:bCs/>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fica autorizada a emitir os títulos referentes aos pagamentos do presente contrato, podendo, inclusive, antecipar os recebíveis junto à terceiros, respeitados os valores e vencimentos delineados neste instrumento.</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Parágrafo Quarto: </w:t>
      </w:r>
      <w:r>
        <w:rPr>
          <w:rFonts w:cs="Calibri" w:ascii="Calibri" w:hAnsi="Calibri" w:asciiTheme="minorHAnsi" w:cstheme="minorHAnsi" w:hAnsiTheme="minorHAnsi"/>
          <w:sz w:val="18"/>
          <w:szCs w:val="18"/>
        </w:rPr>
        <w:t xml:space="preserve">O atraso no pagamento de qualquer parcela devida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por força desse instrumento, configurará condição para suspensão das atividades e justo motivo para rescisão contratual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O(s) valor(es) em atraso será(ão) acrescido(s) de multa, juros moratórios e correção conforme “Quadro Resumo”. Sem prejuízo da rescisão por falta de pagamento,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incidirá penalidade referente às últimas 3 (três) mensalidades pagas, independente de eventuais perdas e danos e demais infrações contratuais apurados e multa de 10% (dez por cento) no caso de inadimplência contratual de qualquer natureza.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VIGÊNCIA</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bCs/>
          <w:sz w:val="18"/>
          <w:szCs w:val="18"/>
        </w:rPr>
        <w:t>CLÁUSULA ONZE</w:t>
      </w:r>
      <w:r>
        <w:rPr>
          <w:rFonts w:cs="Calibri" w:ascii="Calibri" w:hAnsi="Calibri" w:asciiTheme="minorHAnsi" w:cstheme="minorHAnsi" w:hAnsiTheme="minorHAnsi"/>
          <w:sz w:val="18"/>
          <w:szCs w:val="18"/>
        </w:rPr>
        <w:t xml:space="preserve">: O presente instrumento passa a vigorar a partir de sua assinatura, perdurando pelo prazo mínimo previsto no campo </w:t>
      </w:r>
      <w:bookmarkStart w:id="0" w:name="_Hlk115360981"/>
      <w:r>
        <w:rPr>
          <w:rFonts w:cs="Calibri" w:ascii="Calibri" w:hAnsi="Calibri" w:asciiTheme="minorHAnsi" w:cstheme="minorHAnsi" w:hAnsiTheme="minorHAnsi"/>
          <w:b/>
          <w:bCs/>
          <w:sz w:val="18"/>
          <w:szCs w:val="18"/>
        </w:rPr>
        <w:t>“PRAZO (meses)”</w:t>
      </w:r>
      <w:r>
        <w:rPr>
          <w:rFonts w:cs="Calibri" w:ascii="Calibri" w:hAnsi="Calibri" w:asciiTheme="minorHAnsi" w:cstheme="minorHAnsi" w:hAnsiTheme="minorHAnsi"/>
          <w:sz w:val="18"/>
          <w:szCs w:val="18"/>
        </w:rPr>
        <w:t>, item 9 do Quadro Resumo</w:t>
      </w:r>
      <w:bookmarkEnd w:id="0"/>
      <w:r>
        <w:rPr>
          <w:rFonts w:cs="Calibri" w:ascii="Calibri" w:hAnsi="Calibri" w:asciiTheme="minorHAnsi" w:cstheme="minorHAnsi" w:hAnsiTheme="minorHAnsi"/>
          <w:sz w:val="18"/>
          <w:szCs w:val="18"/>
        </w:rPr>
        <w:t xml:space="preserve">. Não havendo notificação expressa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com pelo menos 60 (sessenta) dias de antecedência ao término do presente contrato, este instrumento passará a vigorar por prazo indeterminado, e a partir desta oportunidade qualquer das partes poderá resilir o contrato mediante comunicado expresso com 60 (sessenta) dias de antecipação.</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A qualquer momento, por falta grave de qualquer das partes, o presente instrumento será resolvido de imediato, mediante comunicado por escrito apontando a motivação da extinção contratual, sem prejuízo de perdas e danos, e multas contratuais aplicáveis à parte infratora.</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 xml:space="preserve">Parágrafo Segundo: </w:t>
      </w:r>
      <w:r>
        <w:rPr>
          <w:rFonts w:cs="Calibri" w:ascii="Calibri" w:hAnsi="Calibri" w:asciiTheme="minorHAnsi" w:cstheme="minorHAnsi" w:hAnsiTheme="minorHAnsi"/>
          <w:bCs/>
          <w:sz w:val="18"/>
          <w:szCs w:val="18"/>
        </w:rPr>
        <w:t>No</w:t>
      </w:r>
      <w:r>
        <w:rPr>
          <w:rFonts w:cs="Calibri" w:ascii="Calibri" w:hAnsi="Calibri" w:asciiTheme="minorHAnsi" w:cstheme="minorHAnsi" w:hAnsiTheme="minorHAnsi"/>
          <w:b/>
          <w:sz w:val="18"/>
          <w:szCs w:val="18"/>
        </w:rPr>
        <w:t xml:space="preserve"> </w:t>
      </w:r>
      <w:r>
        <w:rPr>
          <w:rFonts w:cs="Calibri" w:ascii="Calibri" w:hAnsi="Calibri" w:asciiTheme="minorHAnsi" w:cstheme="minorHAnsi" w:hAnsiTheme="minorHAnsi"/>
          <w:bCs/>
          <w:sz w:val="18"/>
          <w:szCs w:val="18"/>
        </w:rPr>
        <w:t xml:space="preserve">caso de prestação de serviço de gestão de energia nas UCs descritas no item 4.3 do Quadro Resumo, Gestão ACL – Mercado Livre de Energia, o prazo mínimo de vigência do campo </w:t>
      </w:r>
      <w:r>
        <w:rPr>
          <w:rFonts w:cs="Calibri" w:ascii="Calibri" w:hAnsi="Calibri" w:asciiTheme="minorHAnsi" w:cstheme="minorHAnsi" w:hAnsiTheme="minorHAnsi"/>
          <w:b/>
          <w:bCs/>
          <w:sz w:val="18"/>
          <w:szCs w:val="18"/>
        </w:rPr>
        <w:t>“PRAZO (meses)”</w:t>
      </w:r>
      <w:r>
        <w:rPr>
          <w:rFonts w:cs="Calibri" w:ascii="Calibri" w:hAnsi="Calibri" w:asciiTheme="minorHAnsi" w:cstheme="minorHAnsi" w:hAnsiTheme="minorHAnsi"/>
          <w:sz w:val="18"/>
          <w:szCs w:val="18"/>
        </w:rPr>
        <w:t>, item 9 do Quadro Resumo</w:t>
      </w:r>
      <w:r>
        <w:rPr>
          <w:rFonts w:cs="Calibri" w:ascii="Calibri" w:hAnsi="Calibri" w:asciiTheme="minorHAnsi" w:cstheme="minorHAnsi" w:hAnsiTheme="minorHAnsi"/>
          <w:bCs/>
          <w:sz w:val="18"/>
          <w:szCs w:val="18"/>
        </w:rPr>
        <w:t xml:space="preserve"> será prorrogado para as respectivas UCs, devendo ser respeitado o maior prazo vigente de contratação de energia junto as empresas fornecedoras do setor.</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 DIREITO DE USO DE NOME, MARCA E IMAGEM</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 xml:space="preserve">CLÁUSULA DOZE: </w:t>
      </w:r>
      <w:r>
        <w:rPr>
          <w:rFonts w:cs="Calibri" w:ascii="Calibri" w:hAnsi="Calibri" w:asciiTheme="minorHAnsi" w:cstheme="minorHAnsi" w:hAnsiTheme="minorHAnsi"/>
          <w:sz w:val="18"/>
          <w:szCs w:val="18"/>
        </w:rPr>
        <w:t xml:space="preserve">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fica autorizada de forma expressa a utilizar, para divulgação em suas mídias digitais ou canais que entender apropriados, o nome e a marca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na condição de seu cliente, bem como, implantar o registro da marca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nas imediações da cabine de medição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 uso do nome e marca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resta vedado para fins ilícitos ou vinculados em produtos considerados como ilegais e/ou proibidos por lei.</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CONFIDENCIALIDADE</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CLÁUSULA TREZE: </w:t>
      </w:r>
      <w:r>
        <w:rPr>
          <w:rFonts w:cs="Calibri" w:ascii="Calibri" w:hAnsi="Calibri" w:asciiTheme="minorHAnsi" w:cstheme="minorHAnsi" w:hAnsiTheme="minorHAnsi"/>
          <w:sz w:val="18"/>
          <w:szCs w:val="18"/>
        </w:rPr>
        <w:t xml:space="preserve">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obriga-se a manter sigilo e confidencialidade de todas as informações que tome conhecimento para exercício do presente contrato, que diga respeito a qualquer informação privilegiada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Não se considera informação privilegiada toda aquela veiculada publicamente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ou de conhecimento público e notório, sendo as demais consideradas sigilosas. As informações que receber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em forma física, ou eletrônica, deverão ser devolvidas ou deletadas na extinção do presente instrumento, ou destruídas caso seja este o interesse do detentor da informação. Tal regra de sigilo e confidencialidade vigora por prazo indeterminado, inclusive com o fim da relação comercial ora estabelecida, salvo manifestação expressa da parte detentora da informação repassada. O uso ou repasse indevido de informações privilegiadas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obriga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a indenizar por todos os prejuízos advindos da quebra contratual, sem prejuízo de demais sanções contidas neste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Primeiro</w:t>
      </w:r>
      <w:r>
        <w:rPr>
          <w:rFonts w:cs="Calibri" w:ascii="Calibri" w:hAnsi="Calibri" w:asciiTheme="minorHAnsi" w:cstheme="minorHAnsi" w:hAnsiTheme="minorHAnsi"/>
          <w:sz w:val="18"/>
          <w:szCs w:val="18"/>
        </w:rPr>
        <w:t xml:space="preserve">: As informações coletadas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durante a vigência deste instrumento de gestão de energia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sejam elas apenas geridas ou também armazenadas, poderão ser utilizadas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estudo futuro de perfil de consumo, podendo inclusive serem utilizados para fins comerciais, estudos de caso, apresentação para terceiros, etc. com o que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anui de forma expressa.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LGPD</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QUATORZE</w:t>
      </w:r>
      <w:r>
        <w:rPr>
          <w:rFonts w:cs="Calibri" w:ascii="Calibri" w:hAnsi="Calibri" w:asciiTheme="minorHAnsi" w:cstheme="minorHAnsi" w:hAnsiTheme="minorHAnsi"/>
          <w:sz w:val="18"/>
          <w:szCs w:val="18"/>
        </w:rPr>
        <w:t xml:space="preserve">: As PARTES </w:t>
      </w:r>
      <w:r>
        <w:rPr>
          <w:rFonts w:cs="Calibri" w:ascii="Calibri" w:hAnsi="Calibri" w:asciiTheme="minorHAnsi" w:cstheme="minorHAnsi" w:hAnsiTheme="minorHAnsi"/>
          <w:b/>
          <w:bCs/>
          <w:sz w:val="18"/>
          <w:szCs w:val="18"/>
          <w:u w:val="single"/>
        </w:rPr>
        <w:t>consentem</w:t>
      </w:r>
      <w:r>
        <w:rPr>
          <w:rFonts w:cs="Calibri" w:ascii="Calibri" w:hAnsi="Calibri" w:asciiTheme="minorHAnsi" w:cstheme="minorHAnsi" w:hAnsiTheme="minorHAnsi"/>
          <w:sz w:val="18"/>
          <w:szCs w:val="18"/>
        </w:rPr>
        <w:t xml:space="preserve"> de forma expressa que os dados informados preâmbulo deste instrumento, ou qualquer outro essencial para o andamento regular do contrato firmado, serão adequadamente tratados e encontram-se respaldados na necessidade para execução do presente contrato, consoante art. 7º, “II” e “V” da Lei 13.709/2018 – LGPD e serão mantidos no curso da relação, sendo descartados ao final, salvo necessidade por força legal de manutenção.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DAS CONDIÇÕES AMPLAS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CLÁUSULA QUINZE:</w:t>
      </w:r>
      <w:r>
        <w:rPr>
          <w:rFonts w:cs="Calibri" w:ascii="Calibri" w:hAnsi="Calibri" w:asciiTheme="minorHAnsi" w:cstheme="minorHAnsi" w:hAnsiTheme="minorHAnsi"/>
          <w:sz w:val="18"/>
          <w:szCs w:val="18"/>
        </w:rPr>
        <w:t xml:space="preserve"> As partes reconhecem a validade deste instrumento como título executivo próprio e autônomo, podendo ser executado na hipótese de inadimplemento independente de notificação prévia.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DEZESSEIS</w:t>
      </w:r>
      <w:r>
        <w:rPr>
          <w:rFonts w:cs="Calibri" w:ascii="Calibri" w:hAnsi="Calibri" w:asciiTheme="minorHAnsi" w:cstheme="minorHAnsi" w:hAnsiTheme="minorHAnsi"/>
          <w:sz w:val="18"/>
          <w:szCs w:val="18"/>
        </w:rPr>
        <w:t xml:space="preserve">: Não se estabelece por força deste contrato qualquer vínculo empregatício entre as PARTES, sendo a responsabilidade isolada de cada parte em arcar com as despesas ordinárias e extraordinárias das relações trabalhistas e de ordem civil de seus funcionários e/ou prepostos e/ou terceiros contratados. Tampouco as PARTES estabelecem vinculação societária pela prestação do presente serviço contratado. Na hipótese de inclusão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em processos trabalhistas movidos por funcionários/prepostos/terceirizados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e/ou na hipótese de condenação subsidiária, solidária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em razão de funcionários/prepostos/terceirizados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esta obriga-se em ressarcir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do valor que este decair, podendo, inclusive, reter valores da contraprestação ora pactuada para adimplemento de eventual condenação com trânsito em julgado, sem prejuízo das perdas e danos a serem apurados. Mesma condição se aplica para passivos direcionados à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por conta de trabalhadores/prestadores/terceiros vinculados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resta autorizada de forma expressa a prestar seus serviços na sede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ou em local que este indicar para atendimento do objeto contratual, no todo ou em parte, inclusive por prestadores terceirizados, sendo sua responsabilidade pela contratação, regulação e fiscalização do trabalho realizado por terceiros.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CLÁUSULA DEZESSETE: </w:t>
      </w:r>
      <w:r>
        <w:rPr>
          <w:rFonts w:cs="Calibri" w:ascii="Calibri" w:hAnsi="Calibri" w:asciiTheme="minorHAnsi" w:cstheme="minorHAnsi" w:hAnsiTheme="minorHAnsi"/>
          <w:sz w:val="18"/>
          <w:szCs w:val="18"/>
        </w:rPr>
        <w:t xml:space="preserve">Havendo equipamentos de propriedade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utilizados no serviço contratado, estes serão devidamente catalogados e serão entregues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na condição de empréstimo por COMODATO, devendo este zelar e guardar os mesmos e devolvê-los nas condições nas quais os recebeu, respondendo pelo prejuízo em caso de danos que venham a ser apurados e que tenha dado causa. Sempre que houver necessidade de reparo/manutenção em algum equipamento entregue em comodato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este deve comunicar imediatamente, por escrito,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que esta providencie o atendimento adequado, restando vedada a operação ou manuseio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sem expressa autorização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xml:space="preserve">: Os equipamentos deverão ser devolvidos, com o custo pela retirada e envio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 hipótese de extinção do presente instrumento. Se não devolvido ou franqueado acesso à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retirada dos equipamentos, à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estipula-se multa no valor de R$ 3.000,00 (três mil reais), que deverá ser paga em prazo máximo de 5 dias após notificação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sem prejuízo das demais penalidades por infração contratual.</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DEZOITO</w:t>
      </w:r>
      <w:r>
        <w:rPr>
          <w:rFonts w:cs="Calibri" w:ascii="Calibri" w:hAnsi="Calibri" w:asciiTheme="minorHAnsi" w:cstheme="minorHAnsi" w:hAnsiTheme="minorHAnsi"/>
          <w:sz w:val="18"/>
          <w:szCs w:val="18"/>
        </w:rPr>
        <w:t xml:space="preserve">: Qualquer liberalidade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não será considerada como alteração contratual, devendo, qualquer ajuste de cláusulas, se dar por meio de aditivo próprio ou na forma da “Cláusula Nona” deste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DEZENOVE</w:t>
      </w:r>
      <w:r>
        <w:rPr>
          <w:rFonts w:cs="Calibri" w:ascii="Calibri" w:hAnsi="Calibri" w:asciiTheme="minorHAnsi" w:cstheme="minorHAnsi" w:hAnsiTheme="minorHAnsi"/>
          <w:sz w:val="18"/>
          <w:szCs w:val="18"/>
        </w:rPr>
        <w:t>: Havendo cláusula ou condição que venha a se tornar ilegítima na forma da lei, apenas a regra pontualmente afetada será anulada, mantidas as demais cláusulas e condições contratadas.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w:t>
      </w:r>
      <w:r>
        <w:rPr>
          <w:rFonts w:cs="Calibri" w:ascii="Calibri" w:hAnsi="Calibri" w:asciiTheme="minorHAnsi" w:cstheme="minorHAnsi" w:hAnsiTheme="minorHAnsi"/>
          <w:sz w:val="18"/>
          <w:szCs w:val="18"/>
        </w:rPr>
        <w:t>: O presente instrumento obriga as partes, seus herdeiros e sucessores, a qualquer título, vedada a cessão de direitos sem expressa anuência da parte contrária.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 E UM</w:t>
      </w:r>
      <w:r>
        <w:rPr>
          <w:rFonts w:cs="Calibri" w:ascii="Calibri" w:hAnsi="Calibri" w:asciiTheme="minorHAnsi" w:cstheme="minorHAnsi" w:hAnsiTheme="minorHAnsi"/>
          <w:sz w:val="18"/>
          <w:szCs w:val="18"/>
        </w:rPr>
        <w:t>: Todas as notificações relativas ao presente instrumento terão plena validade, desde que enviadas aos endereços constantes informados nos campos respectivos do “Quadro Resumo”, sendo que compete exclusivamente a cada parte informar à parte contrária sobre eventual alteração de seu endereço físico, telefone ou e-mail. Não o fazendo, presumir-se-á válida a notificação para o último endereço informado.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 FORO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 E DOIS</w:t>
      </w:r>
      <w:r>
        <w:rPr>
          <w:rFonts w:cs="Calibri" w:ascii="Calibri" w:hAnsi="Calibri" w:asciiTheme="minorHAnsi" w:cstheme="minorHAnsi" w:hAnsiTheme="minorHAnsi"/>
          <w:sz w:val="18"/>
          <w:szCs w:val="18"/>
        </w:rPr>
        <w:t>: As partes elegem o Foro da Comarca de Pelotas/RS, para dirimir eventuais dúvidas decorrentes da execução do presente instrumento, com renúncia a qualquer outro, e por estarem justos e contratados, firmam o presente em formato digital, pelas partes contratantes e por duas testemunhas, depois de tudo lido e achado conforme em todos os seus termos, nesta cidade de Pelotas/RS, na data constante no Quadro Resumo, item 7.</w:t>
      </w:r>
    </w:p>
    <w:p>
      <w:pPr>
        <w:pStyle w:val="Normal"/>
        <w:spacing w:before="60" w:after="60"/>
        <w:ind w:right="-1"/>
        <w:jc w:val="both"/>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b/>
          <w:bCs/>
          <w:color w:themeColor="text1" w:val="000000"/>
          <w:sz w:val="18"/>
          <w:szCs w:val="18"/>
        </w:rPr>
        <w:t>CLÁUSULA VINTE E TRÊS</w:t>
      </w:r>
      <w:r>
        <w:rPr>
          <w:rFonts w:cs="Calibri" w:ascii="Calibri" w:hAnsi="Calibri" w:asciiTheme="minorHAnsi" w:cstheme="minorHAnsi" w:hAnsiTheme="minorHAnsi"/>
          <w:color w:themeColor="text1" w:val="000000"/>
          <w:sz w:val="18"/>
          <w:szCs w:val="18"/>
        </w:rPr>
        <w:t>: É admitida a assinatura eletrônica do presente instrumento na forma da Medida Provisória n.º 2.200-2/2001 e da Lei 14.063/20, sendo tal assinatura juridicamente válida e vinculativa e que a aposição das respectivas assinaturas eletrônicas e/ou digitais neste instrumento terá o mesmo efeito jurídico de uma assinatura escrita.</w:t>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tbl>
      <w:tblPr>
        <w:tblStyle w:val="Tabelacomgrade"/>
        <w:tblW w:w="544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689"/>
        <w:gridCol w:w="236"/>
        <w:gridCol w:w="2522"/>
      </w:tblGrid>
      <w:tr>
        <w:trPr>
          <w:trHeight w:val="1109" w:hRule="atLeast"/>
        </w:trPr>
        <w:tc>
          <w:tcPr>
            <w:tcW w:w="2689" w:type="dxa"/>
            <w:tcBorders>
              <w:left w:val="nil"/>
              <w:right w:val="nil"/>
            </w:tcBorders>
          </w:tcPr>
          <w:p>
            <w:pPr>
              <w:pStyle w:val="Normal"/>
              <w:widowControl/>
              <w:spacing w:before="60" w:after="60"/>
              <w:ind w:right="-1"/>
              <w:jc w:val="both"/>
              <w:rPr>
                <w:rFonts w:ascii="Calibri" w:hAnsi="Calibri" w:cs="Calibri" w:asciiTheme="minorHAnsi" w:cstheme="minorHAnsi" w:hAnsiTheme="minorHAnsi"/>
                <w:b/>
                <w:bCs/>
                <w:sz w:val="18"/>
                <w:szCs w:val="18"/>
              </w:rPr>
            </w:pPr>
            <w:r>
              <w:rPr>
                <w:rFonts w:eastAsia="Times New Roman" w:cs="Calibri" w:ascii="Calibri" w:hAnsi="Calibri" w:asciiTheme="minorHAnsi" w:cstheme="minorHAnsi" w:hAnsiTheme="minorHAnsi"/>
                <w:b/>
                <w:bCs/>
                <w:kern w:val="0"/>
                <w:sz w:val="18"/>
                <w:szCs w:val="18"/>
                <w:lang w:val="pt-BR" w:eastAsia="pt-BR" w:bidi="ar-SA"/>
              </w:rPr>
              <w:t>CONTRATANTE</w:t>
            </w:r>
          </w:p>
        </w:tc>
        <w:tc>
          <w:tcPr>
            <w:tcW w:w="236" w:type="dxa"/>
            <w:tcBorders>
              <w:top w:val="nil"/>
              <w:left w:val="nil"/>
              <w:bottom w:val="nil"/>
              <w:right w:val="nil"/>
            </w:tcBorders>
          </w:tcPr>
          <w:p>
            <w:pPr>
              <w:pStyle w:val="Normal"/>
              <w:widowControl/>
              <w:spacing w:before="60" w:after="60"/>
              <w:ind w:right="-1"/>
              <w:jc w:val="both"/>
              <w:rPr>
                <w:rFonts w:ascii="Calibri" w:hAnsi="Calibri" w:cs="Calibri" w:asciiTheme="minorHAnsi" w:cstheme="minorHAnsi" w:hAnsiTheme="minorHAnsi"/>
                <w:b/>
                <w:bCs/>
                <w:sz w:val="18"/>
                <w:szCs w:val="18"/>
              </w:rPr>
            </w:pPr>
            <w:r>
              <w:rPr>
                <w:rFonts w:eastAsia="Times New Roman" w:cs="Calibri" w:cstheme="minorHAnsi" w:ascii="Calibri" w:hAnsi="Calibri"/>
                <w:b/>
                <w:bCs/>
                <w:kern w:val="0"/>
                <w:sz w:val="18"/>
                <w:szCs w:val="18"/>
                <w:lang w:val="pt-BR" w:eastAsia="pt-BR" w:bidi="ar-SA"/>
              </w:rPr>
            </w:r>
          </w:p>
        </w:tc>
        <w:tc>
          <w:tcPr>
            <w:tcW w:w="2522" w:type="dxa"/>
            <w:tcBorders>
              <w:left w:val="nil"/>
              <w:right w:val="nil"/>
            </w:tcBorders>
          </w:tcPr>
          <w:p>
            <w:pPr>
              <w:pStyle w:val="Normal"/>
              <w:widowControl/>
              <w:spacing w:before="60" w:after="60"/>
              <w:ind w:right="-1"/>
              <w:jc w:val="both"/>
              <w:rPr>
                <w:rFonts w:ascii="Calibri" w:hAnsi="Calibri" w:cs="Calibri" w:asciiTheme="minorHAnsi" w:cstheme="minorHAnsi" w:hAnsiTheme="minorHAnsi"/>
                <w:b/>
                <w:bCs/>
                <w:sz w:val="18"/>
                <w:szCs w:val="18"/>
              </w:rPr>
            </w:pPr>
            <w:r>
              <w:rPr>
                <w:rFonts w:eastAsia="Times New Roman" w:cs="Calibri" w:ascii="Calibri" w:hAnsi="Calibri" w:asciiTheme="minorHAnsi" w:cstheme="minorHAnsi" w:hAnsiTheme="minorHAnsi"/>
                <w:b/>
                <w:bCs/>
                <w:kern w:val="0"/>
                <w:sz w:val="18"/>
                <w:szCs w:val="18"/>
                <w:lang w:val="pt-BR" w:eastAsia="pt-BR" w:bidi="ar-SA"/>
              </w:rPr>
              <w:t>CONTRATADA</w:t>
            </w:r>
          </w:p>
        </w:tc>
      </w:tr>
      <w:tr>
        <w:trPr/>
        <w:tc>
          <w:tcPr>
            <w:tcW w:w="2689" w:type="dxa"/>
            <w:tcBorders>
              <w:left w:val="nil"/>
              <w:bottom w:val="nil"/>
              <w:right w:val="nil"/>
            </w:tcBorders>
          </w:tcPr>
          <w:p>
            <w:pPr>
              <w:pStyle w:val="Normal"/>
              <w:widowControl/>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Testemunha1</w:t>
            </w:r>
          </w:p>
          <w:p>
            <w:pPr>
              <w:pStyle w:val="Normal"/>
              <w:widowControl/>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CPF</w:t>
            </w:r>
          </w:p>
        </w:tc>
        <w:tc>
          <w:tcPr>
            <w:tcW w:w="236" w:type="dxa"/>
            <w:tcBorders>
              <w:top w:val="nil"/>
              <w:left w:val="nil"/>
              <w:bottom w:val="nil"/>
              <w:right w:val="nil"/>
            </w:tcBorders>
          </w:tcPr>
          <w:p>
            <w:pPr>
              <w:pStyle w:val="Normal"/>
              <w:widowControl/>
              <w:spacing w:before="0" w:after="0"/>
              <w:jc w:val="both"/>
              <w:rPr>
                <w:rFonts w:ascii="Calibri" w:hAnsi="Calibri" w:cs="Calibri" w:asciiTheme="minorHAnsi" w:cstheme="minorHAnsi" w:hAnsiTheme="minorHAnsi"/>
                <w:sz w:val="18"/>
                <w:szCs w:val="18"/>
              </w:rPr>
            </w:pPr>
            <w:r>
              <w:rPr>
                <w:rFonts w:eastAsia="Times New Roman" w:cs="Calibri" w:cstheme="minorHAnsi" w:ascii="Calibri" w:hAnsi="Calibri"/>
                <w:kern w:val="0"/>
                <w:sz w:val="18"/>
                <w:szCs w:val="18"/>
                <w:lang w:val="pt-BR" w:eastAsia="pt-BR" w:bidi="ar-SA"/>
              </w:rPr>
            </w:r>
          </w:p>
        </w:tc>
        <w:tc>
          <w:tcPr>
            <w:tcW w:w="2522" w:type="dxa"/>
            <w:tcBorders>
              <w:left w:val="nil"/>
              <w:bottom w:val="nil"/>
              <w:right w:val="nil"/>
            </w:tcBorders>
          </w:tcPr>
          <w:p>
            <w:pPr>
              <w:pStyle w:val="Normal"/>
              <w:widowControl/>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Testemunha2</w:t>
            </w:r>
          </w:p>
          <w:p>
            <w:pPr>
              <w:pStyle w:val="Normal"/>
              <w:widowControl/>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CPF:</w:t>
            </w:r>
          </w:p>
        </w:tc>
      </w:tr>
    </w:tbl>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ANEXO I</w:t>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presente anexo detalha e descreve os serviços incluídos nos Tipos de Plano de Serviço de Gestão de Energia, como segue:</w:t>
      </w:r>
    </w:p>
    <w:p>
      <w:pPr>
        <w:pStyle w:val="Normal"/>
        <w:spacing w:lineRule="auto" w:line="276"/>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SOLE CONSULTORIA</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 de assessoria e consultoria por time de analistas especialistas em Tarifação/Tributação/Legislação e Eficiência Energética, serviços esses realizados no âmbito do ACR, tendo por base as faturas e contrato de energia das UCs do CONTRATANTE, bem como outras informação e cadastros relevantes solicitados pela CONTRATADA;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do perfil de consumo e identificação da melhor estrutura de classificação e enquadramento tarifário/tributário;</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revisão dos contratos de demanda ativa de cada UC;</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Representação do CONTRATANTE perante a distribuidora de energia, de maneira a intermediar a relação consumidor e concessionária;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relatórios mensais com o fechamento das grandezas elétricas de cada unidade, com informações de (i) Consumo; (ii) Uso Ponta e Fora Ponta; (iii) Demanda Contratada e Demanda Lida; (iv) Impacto das Bandeiras Tarifárias; (v) Impostos; (vi) Ações em andamento; (viii) Pontos de melhorias; Coleta mensal da fatura de energia e cadastro no sistema SOLE;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avaliação de reativos excedentes com base nas faturas de energia, e quando necessário, com base na memória de massa do medidor de energia do CONTRANTE, mediante solicitação a distribuidora com taxa paga por esse;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Disponibilidade de uma reunião presencial anual, em horário comercial, quando solicitado pela CONTRATANTE, podendo ser </w:t>
      </w:r>
      <w:r>
        <w:rPr>
          <w:rFonts w:cs="Calibri" w:ascii="Calibri" w:hAnsi="Calibri" w:asciiTheme="minorHAnsi" w:cstheme="minorHAnsi" w:hAnsiTheme="minorHAnsi"/>
          <w:i/>
          <w:iCs/>
          <w:sz w:val="18"/>
          <w:szCs w:val="18"/>
        </w:rPr>
        <w:t>online</w:t>
      </w:r>
      <w:r>
        <w:rPr>
          <w:rFonts w:cs="Calibri" w:ascii="Calibri" w:hAnsi="Calibri" w:asciiTheme="minorHAnsi" w:cstheme="minorHAnsi" w:hAnsiTheme="minorHAnsi"/>
          <w:sz w:val="18"/>
          <w:szCs w:val="18"/>
        </w:rPr>
        <w:t>;</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Disponibilidade para uma reunião </w:t>
      </w:r>
      <w:r>
        <w:rPr>
          <w:rFonts w:cs="Calibri" w:ascii="Calibri" w:hAnsi="Calibri" w:asciiTheme="minorHAnsi" w:cstheme="minorHAnsi" w:hAnsiTheme="minorHAnsi"/>
          <w:i/>
          <w:iCs/>
          <w:sz w:val="18"/>
          <w:szCs w:val="18"/>
        </w:rPr>
        <w:t>online</w:t>
      </w:r>
      <w:r>
        <w:rPr>
          <w:rFonts w:cs="Calibri" w:ascii="Calibri" w:hAnsi="Calibri" w:asciiTheme="minorHAnsi" w:cstheme="minorHAnsi" w:hAnsiTheme="minorHAnsi"/>
          <w:sz w:val="18"/>
          <w:szCs w:val="18"/>
        </w:rPr>
        <w:t xml:space="preserve"> por mês, quando solicitado pelo CONTRATANTE,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Disponibilidade para esclarecimento de dúvidas rotineiras referente à energia elétrica através de meios telemáticos,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Realização de auditoria mensal da fatura de energia da unidade consumidora, avaliando divergências, e em caso de ocorrência dessas, mediante aceite do CONTRATANTE, elaboração, protocolo e acompanhamento dos devidos Recursos Administrativos.</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SOLE WEB</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Implantação do hardware e sistema de monitoração e telemetria remota de energia SOLE – Serviços On Line de Energia. O CONTRATANTE deverá disponibilizar ponto de energia de baixa tensão junto a medição de energia da distribuidora;</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Disponibilidade de acesso remoto e on-line para o CONTRATANTE, via plataforma web, de maneira que ele possa acessar os gráficos, os relatórios e tabelas de consumos energéticos, as simulações de fatura energética por período de uso, entre outros;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Criação de ocorrências e alarmes automatizados específicos para a(s) UC(s) do CONTRATANTE, quanto a patamares de contrato e uso de demanda ativa, consumo em ponta, reativos excedentes e outros, a partir dos dados de monitoração remota online do sistema de telemetria SOLE, com acompanhamento de equipes de analistas e especialistas da CONTRATADA, de maneira a sinalizar os desvios de custo, consumo e operação, para a devida intercorrência e atuação do CONTRATANTE junto a(s) sua(s) UC(s);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métricas de consumo de energia e estratégias de otimização de acordo com a curva do CONTRATANTE para incentivar comportamentos de uso com menor impacto financeiro;</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otimização de indicadores energéticos de desempenho condizentes com a atividade econômica.</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ACL - MERCADO LIVRE</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Representação do CONTRATANTE e da (s) unidade (s) consumidora (s) frente as figuras do setor elétrico através de procuração;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migratório quanto a: condução e execução dos procedimentos comerciais necessários;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migratório quanto a: orientação ao CONTRATANTE e intermediação da comunicação entre o cliente e potenciais fornecedores, caso necessário, referente a habilitação técnica;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de Adesão CCEE - tornando o CONTRATANTE um agente da CCEE;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Gestão dos novos contratos referente ao vínculo comercial com a distribuidora;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estratégias para aquisição de energia elétrica com agentes vendedores do mercado;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Intermediação para cotação, propostas comerciais e formalização de contratos de compra e venda de energia elétrica, assim como renovação;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Realização de treinamento e orientação quanto a nova rotina administrativa para os indivíduos envolvidos com os faturamentos de energia elétrica;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Gestão completa perante a CCEE, comercializadoras envolvidas e a distribuidora nos procedimentos pós migração com rotinas administrativas e técnicas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Apuração e apresentação do retorno financeiro obtido pelo novo ambiente de contratação através de relatórios mensais, por e-mail;</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apresentação dos resultados financeiros obtidos pelo novo ambiente de contratação em períodos anuais, através de reunião presencial ou remota, a ser definida com o cliente.</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360"/>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USINA FOTOVOLTAICA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Monitoração da usina fotovoltaica através dos inversores e site do fabricante da usina;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Apuração do balanço energético de consumo 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Validação da acuracidade da curva de geração e falhas de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Validação das eventuais transferências de créditos da usina para outras unidades consumidoras;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Auditoria da fatura de energia no que tange a correta inserção de créditos e compensação dos volumes gerados;</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Avisos e alarmes ao cliente sobre falhas no sistema de geração e ou de creditação;</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serviço não contempla manutenções locais da usina de qualquer natureza.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CONTINUADA DA QUALIDADE DE ENERGIA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 de assessoria e consultoria por time de analistas especialistas para: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Acompanhamento regular e periódico (3x por semana) dos níveis de tensão da unidade;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Avaliação técnica dos níveis de tensão de acordo com PRODIST 8;</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Confecção e envio de relatórios de acompanhamento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Obtenção de dados importantes contra a concessionária para – em caso necessário – atuar juridicamente;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Disponibilizar acesso remoto aos dados da telemedição ao CONTRATANTE.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Procedimentos Administrativos junto à Concessionária de Energia para: - Regularização dos níveis de fornecimento dentro dos valores estabelecidos;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Procedimentos administrativos para busca de compensações financeiras devido à má qualidade de energia;</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Obrigação da Contratante quanto a esse escopo de serviço: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Disponibilizar sistema de comunicação WIFI junto ao ponto de coleta de dados;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Permitir acesso ao QGBT (Quadro Geral de Baixa Tensão) para instalação do equipamento de medição de nível de tensão.</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Os equipamentos de medição serão faturados diretamente ao cliente, passando a sua propriedade, e o saldo da implantação pela GEBRAS</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rPr>
      </w:pPr>
      <w:r>
        <w:rPr>
          <w:rFonts w:cs="Calibri" w:ascii="Calibri" w:hAnsi="Calibri" w:asciiTheme="minorHAnsi" w:cstheme="minorHAnsi" w:hAnsiTheme="minorHAnsi"/>
          <w:b/>
        </w:rPr>
        <w:t>ANEXO II</w:t>
      </w:r>
    </w:p>
    <w:p>
      <w:pPr>
        <w:pStyle w:val="Normal"/>
        <w:tabs>
          <w:tab w:val="clear" w:pos="708"/>
          <w:tab w:val="left" w:pos="284" w:leader="none"/>
        </w:tabs>
        <w:jc w:val="both"/>
        <w:rPr>
          <w:rFonts w:ascii="Calibri" w:hAnsi="Calibri" w:cs="Calibri" w:asciiTheme="minorHAnsi" w:cstheme="minorHAnsi" w:hAnsiTheme="minorHAnsi"/>
          <w:sz w:val="14"/>
          <w:szCs w:val="14"/>
        </w:rPr>
      </w:pPr>
      <w:r>
        <w:rPr>
          <w:rFonts w:cs="Calibri" w:cstheme="minorHAnsi" w:ascii="Calibri" w:hAnsi="Calibri"/>
          <w:sz w:val="14"/>
          <w:szCs w:val="14"/>
        </w:rPr>
      </w:r>
    </w:p>
    <w:p>
      <w:pPr>
        <w:pStyle w:val="Normal"/>
        <w:tabs>
          <w:tab w:val="clear" w:pos="708"/>
          <w:tab w:val="left" w:pos="284" w:leader="none"/>
        </w:tabs>
        <w:jc w:val="both"/>
        <w:rPr>
          <w:rFonts w:ascii="Calibri" w:hAnsi="Calibri" w:cs="Calibri" w:asciiTheme="minorHAnsi" w:cstheme="minorHAnsi" w:hAnsiTheme="minorHAnsi"/>
          <w:sz w:val="14"/>
          <w:szCs w:val="14"/>
        </w:rPr>
      </w:pPr>
      <w:r>
        <w:rPr>
          <w:rFonts w:cs="Calibri" w:cstheme="minorHAnsi" w:ascii="Calibri" w:hAnsi="Calibri"/>
          <w:sz w:val="14"/>
          <w:szCs w:val="14"/>
        </w:rPr>
      </w:r>
    </w:p>
    <w:tbl>
      <w:tblPr>
        <w:tblStyle w:val="TabeladeGrade1Clara"/>
        <w:tblW w:w="538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46"/>
        <w:gridCol w:w="2835"/>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2546"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ascii="Calibri" w:hAnsi="Calibri" w:asciiTheme="minorHAnsi" w:cstheme="minorHAnsi" w:hAnsiTheme="minorHAnsi"/>
                <w:b/>
                <w:bCs/>
                <w:color w:val="000000"/>
                <w:kern w:val="0"/>
                <w:sz w:val="18"/>
                <w:szCs w:val="18"/>
                <w:lang w:val="pt-BR" w:eastAsia="pt-BR" w:bidi="ar-SA"/>
              </w:rPr>
              <w:t>UC</w:t>
            </w:r>
          </w:p>
        </w:tc>
        <w:tc>
          <w:tcPr>
            <w:tcW w:w="2835"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ascii="Calibri" w:hAnsi="Calibri" w:asciiTheme="minorHAnsi" w:cstheme="minorHAnsi" w:hAnsiTheme="minorHAnsi"/>
                <w:b/>
                <w:bCs/>
                <w:color w:val="000000"/>
                <w:kern w:val="0"/>
                <w:sz w:val="18"/>
                <w:szCs w:val="18"/>
                <w:lang w:val="pt-BR" w:eastAsia="pt-BR" w:bidi="ar-SA"/>
              </w:rPr>
              <w:t>SERVIÇO</w:t>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r>
        <w:trPr>
          <w:trHeight w:val="288" w:hRule="atLeast"/>
        </w:trPr>
        <w:tc>
          <w:tcPr>
            <w:tcW w:w="254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rFonts w:ascii="Calibri" w:hAnsi="Calibri" w:cs="Calibri" w:asciiTheme="minorHAnsi" w:cstheme="minorHAnsi" w:hAnsiTheme="minorHAnsi"/>
                <w:color w:val="000000"/>
                <w:sz w:val="18"/>
                <w:szCs w:val="18"/>
              </w:rPr>
            </w:pPr>
            <w:r>
              <w:rPr>
                <w:rFonts w:eastAsia="Times New Roman" w:cs="Calibri" w:cstheme="minorHAnsi" w:ascii="Calibri" w:hAnsi="Calibri"/>
                <w:b/>
                <w:bCs/>
                <w:color w:val="000000"/>
                <w:kern w:val="0"/>
                <w:sz w:val="18"/>
                <w:szCs w:val="18"/>
                <w:lang w:val="pt-BR" w:eastAsia="pt-BR" w:bidi="ar-SA"/>
              </w:rPr>
            </w:r>
          </w:p>
        </w:tc>
        <w:tc>
          <w:tcPr>
            <w:tcW w:w="2835" w:type="dxa"/>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cs="Calibri" w:asciiTheme="minorHAnsi" w:cstheme="minorHAnsi" w:hAnsiTheme="minorHAnsi"/>
                <w:color w:val="000000"/>
                <w:sz w:val="18"/>
                <w:szCs w:val="18"/>
              </w:rPr>
            </w:pPr>
            <w:r>
              <w:rPr>
                <w:rFonts w:eastAsia="Times New Roman" w:cs="Calibri" w:cstheme="minorHAnsi" w:ascii="Calibri" w:hAnsi="Calibri"/>
                <w:color w:val="000000"/>
                <w:kern w:val="0"/>
                <w:sz w:val="18"/>
                <w:szCs w:val="18"/>
                <w:lang w:val="pt-BR" w:eastAsia="pt-BR" w:bidi="ar-SA"/>
              </w:rPr>
            </w:r>
          </w:p>
        </w:tc>
      </w:tr>
    </w:tbl>
    <w:p>
      <w:pPr>
        <w:pStyle w:val="Normal"/>
        <w:tabs>
          <w:tab w:val="clear" w:pos="708"/>
          <w:tab w:val="left" w:pos="284" w:leader="none"/>
        </w:tabs>
        <w:jc w:val="both"/>
        <w:rPr>
          <w:rFonts w:ascii="Calibri" w:hAnsi="Calibri" w:cs="Calibri" w:asciiTheme="minorHAnsi" w:cstheme="minorHAnsi" w:hAnsiTheme="minorHAnsi"/>
          <w:sz w:val="14"/>
          <w:szCs w:val="14"/>
        </w:rPr>
      </w:pPr>
      <w:r>
        <w:rPr>
          <w:rFonts w:cs="Calibri" w:cstheme="minorHAnsi" w:ascii="Calibri" w:hAnsi="Calibri"/>
          <w:sz w:val="14"/>
          <w:szCs w:val="14"/>
        </w:rPr>
      </w:r>
    </w:p>
    <w:sectPr>
      <w:type w:val="continuous"/>
      <w:pgSz w:w="11906" w:h="16838"/>
      <w:pgMar w:left="993" w:right="850" w:gutter="0" w:header="426" w:top="706" w:footer="0" w:bottom="851"/>
      <w:cols w:num="2" w:space="142" w:equalWidth="true" w:sep="false"/>
      <w:formProt w:val="false"/>
      <w:titlePg/>
      <w:textDirection w:val="lrTb"/>
      <w:docGrid w:type="default" w:linePitch="272"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swiss"/>
    <w:pitch w:val="variable"/>
  </w:font>
  <w:font w:name="Helvetica-Bold">
    <w:charset w:val="00"/>
    <w:family w:val="roman"/>
    <w:pitch w:val="variable"/>
  </w:font>
  <w:font w:name="Liberation Sans">
    <w:altName w:val="Arial"/>
    <w:charset w:val="00"/>
    <w:family w:val="swiss"/>
    <w:pitch w:val="variable"/>
  </w:font>
  <w:font w:name="Tahoma">
    <w:charset w:val="00"/>
    <w:family w:val="swiss"/>
    <w:pitch w:val="variable"/>
  </w:font>
  <w:font w:name="Calibri">
    <w:charset w:val="00"/>
    <w:family w:val="roman"/>
    <w:pitch w:val="variable"/>
  </w:font>
  <w:font w:name="Calibri">
    <w:charset w:val="00"/>
    <w:family w:val="swiss"/>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4" name="Quadro2"/>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Arial" w:ascii="Verdana" w:hAnsi="Verdana"/>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r>
            <w:rPr>
              <w:rFonts w:cs="Arial" w:ascii="Verdana" w:hAnsi="Verdana"/>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p>
      </w:tc>
    </w:tr>
  </w:tbl>
  <w:p>
    <w:pPr>
      <w:pStyle w:val="Footer"/>
      <w:ind w:right="360"/>
      <w:rPr>
        <w:rFonts w:ascii="Verdana" w:hAnsi="Verdana"/>
        <w:sz w:val="16"/>
      </w:rPr>
    </w:pPr>
    <w:r>
      <w:rPr>
        <w:rFonts w:ascii="Verdana" w:hAnsi="Verdana"/>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Arial" w:ascii="Verdana" w:hAnsi="Verdana"/>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Arial" w:ascii="Verdana" w:hAnsi="Verdana"/>
              <w:color w:val="808080"/>
            </w:rPr>
            <w:t>1</w:t>
          </w:r>
          <w:r>
            <w:rPr>
              <w:sz w:val="16"/>
              <w:rFonts w:cs="Arial" w:ascii="Verdana" w:hAnsi="Verdana"/>
              <w:color w:val="808080"/>
            </w:rPr>
            <w:fldChar w:fldCharType="end"/>
          </w:r>
          <w:r>
            <w:rPr>
              <w:rFonts w:cs="Arial" w:ascii="Verdana" w:hAnsi="Verdana"/>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2" name="Quadro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sz w:val="32"/>
      </w:rPr>
    </w:pPr>
    <w:r>
      <w:rPr/>
      <w:drawing>
        <wp:inline distT="0" distB="0" distL="0" distR="0">
          <wp:extent cx="2012315" cy="637540"/>
          <wp:effectExtent l="0" t="0" r="0" b="0"/>
          <wp:docPr id="3" name="Figura2"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Texto, Logotipo&#10;&#10;O conteúdo gerado por IA pode estar incorreto."/>
                  <pic:cNvPicPr>
                    <a:picLocks noChangeAspect="1" noChangeArrowheads="1"/>
                  </pic:cNvPicPr>
                </pic:nvPicPr>
                <pic:blipFill>
                  <a:blip r:embed="rId1"/>
                  <a:srcRect l="9524" t="16482" r="9890" b="18622"/>
                  <a:stretch>
                    <a:fillRect/>
                  </a:stretch>
                </pic:blipFill>
                <pic:spPr bwMode="auto">
                  <a:xfrm>
                    <a:off x="0" y="0"/>
                    <a:ext cx="2012315" cy="637540"/>
                  </a:xfrm>
                  <a:prstGeom prst="rect">
                    <a:avLst/>
                  </a:prstGeom>
                  <a:noFill/>
                </pic:spPr>
              </pic:pic>
            </a:graphicData>
          </a:graphic>
        </wp:inline>
      </w:drawing>
    </w:r>
  </w:p>
  <w:p>
    <w:pPr>
      <w:pStyle w:val="Header"/>
      <w:rPr>
        <w:rFonts w:ascii="Calibri" w:hAnsi="Calibri"/>
        <w:color w:val="A6A6A6"/>
      </w:rPr>
    </w:pPr>
    <w:r>
      <w:rPr>
        <w:rFonts w:ascii="Calibri" w:hAnsi="Calibri"/>
        <w:color w:val="A6A6A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4">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gutterAtTop/>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b5ab9"/>
    <w:pPr>
      <w:widowControl/>
      <w:bidi w:val="0"/>
      <w:spacing w:before="0" w:after="0"/>
      <w:jc w:val="left"/>
    </w:pPr>
    <w:rPr>
      <w:rFonts w:ascii="Times New Roman" w:hAnsi="Times New Roman" w:eastAsia="Times New Roman" w:cs="Times New Roman"/>
      <w:color w:val="auto"/>
      <w:kern w:val="0"/>
      <w:sz w:val="20"/>
      <w:szCs w:val="20"/>
      <w:lang w:val="pt-BR" w:eastAsia="pt-BR" w:bidi="ar-SA"/>
    </w:rPr>
  </w:style>
  <w:style w:type="paragraph" w:styleId="Heading1">
    <w:name w:val="heading 1"/>
    <w:basedOn w:val="Normal"/>
    <w:next w:val="Normal"/>
    <w:link w:val="Ttulo1Char"/>
    <w:qFormat/>
    <w:pPr>
      <w:keepNext w:val="true"/>
      <w:jc w:val="both"/>
      <w:outlineLvl w:val="0"/>
    </w:pPr>
    <w:rPr>
      <w:rFonts w:ascii="Arial" w:hAnsi="Arial"/>
      <w:b/>
      <w:sz w:val="24"/>
      <w:lang w:val="x-none" w:eastAsia="x-none"/>
    </w:rPr>
  </w:style>
  <w:style w:type="paragraph" w:styleId="Heading2">
    <w:name w:val="heading 2"/>
    <w:basedOn w:val="Normal"/>
    <w:next w:val="Normal"/>
    <w:qFormat/>
    <w:pPr>
      <w:keepNext w:val="true"/>
      <w:pBdr>
        <w:top w:val="single" w:sz="4" w:space="1" w:color="000000"/>
        <w:left w:val="single" w:sz="4" w:space="4" w:color="000000"/>
        <w:bottom w:val="single" w:sz="4" w:space="1" w:color="000000"/>
        <w:right w:val="single" w:sz="4" w:space="4" w:color="000000"/>
      </w:pBdr>
      <w:jc w:val="center"/>
      <w:outlineLvl w:val="1"/>
    </w:pPr>
    <w:rPr>
      <w:rFonts w:ascii="Arial" w:hAnsi="Arial"/>
      <w:b/>
      <w:bCs/>
      <w:sz w:val="24"/>
    </w:rPr>
  </w:style>
  <w:style w:type="paragraph" w:styleId="Heading3">
    <w:name w:val="heading 3"/>
    <w:basedOn w:val="Normal"/>
    <w:next w:val="Normal"/>
    <w:qFormat/>
    <w:pPr>
      <w:keepNext w:val="true"/>
      <w:jc w:val="center"/>
      <w:outlineLvl w:val="2"/>
    </w:pPr>
    <w:rPr>
      <w:rFonts w:ascii="Arial" w:hAnsi="Arial"/>
      <w:sz w:val="24"/>
    </w:rPr>
  </w:style>
  <w:style w:type="paragraph" w:styleId="Heading4">
    <w:name w:val="heading 4"/>
    <w:basedOn w:val="Normal"/>
    <w:next w:val="Normal"/>
    <w:qFormat/>
    <w:pPr>
      <w:keepNext w:val="true"/>
      <w:ind w:left="3119"/>
      <w:jc w:val="both"/>
      <w:outlineLvl w:val="3"/>
    </w:pPr>
    <w:rPr>
      <w:rFonts w:ascii="Verdana" w:hAnsi="Verdana"/>
      <w:b/>
    </w:rPr>
  </w:style>
  <w:style w:type="paragraph" w:styleId="Heading5">
    <w:name w:val="heading 5"/>
    <w:basedOn w:val="Normal"/>
    <w:next w:val="Normal"/>
    <w:qFormat/>
    <w:pPr>
      <w:keepNext w:val="true"/>
      <w:spacing w:lineRule="auto" w:line="360"/>
      <w:jc w:val="both"/>
      <w:outlineLvl w:val="4"/>
    </w:pPr>
    <w:rPr>
      <w:rFonts w:ascii="Verdana" w:hAnsi="Verdana"/>
      <w:b/>
      <w:sz w:val="18"/>
    </w:rPr>
  </w:style>
  <w:style w:type="paragraph" w:styleId="Heading6">
    <w:name w:val="heading 6"/>
    <w:basedOn w:val="Normal"/>
    <w:next w:val="Normal"/>
    <w:qFormat/>
    <w:pPr>
      <w:keepNext w:val="true"/>
      <w:spacing w:lineRule="auto" w:line="360"/>
      <w:jc w:val="both"/>
      <w:outlineLvl w:val="5"/>
    </w:pPr>
    <w:rPr>
      <w:b/>
      <w:sz w:val="16"/>
    </w:rPr>
  </w:style>
  <w:style w:type="paragraph" w:styleId="Heading7">
    <w:name w:val="heading 7"/>
    <w:basedOn w:val="Normal"/>
    <w:next w:val="Normal"/>
    <w:qFormat/>
    <w:pPr>
      <w:keepNext w:val="true"/>
      <w:spacing w:lineRule="auto" w:line="360"/>
      <w:outlineLvl w:val="6"/>
    </w:pPr>
    <w:rPr>
      <w:rFonts w:ascii="Verdana" w:hAnsi="Verdana"/>
      <w:b/>
      <w:bCs/>
      <w:sz w:val="18"/>
    </w:rPr>
  </w:style>
  <w:style w:type="paragraph" w:styleId="Heading8">
    <w:name w:val="heading 8"/>
    <w:basedOn w:val="Normal"/>
    <w:next w:val="Normal"/>
    <w:qFormat/>
    <w:pPr>
      <w:keepNext w:val="true"/>
      <w:spacing w:lineRule="auto" w:line="360"/>
      <w:ind w:left="1134"/>
      <w:jc w:val="both"/>
      <w:outlineLvl w:val="7"/>
    </w:pPr>
    <w:rPr>
      <w:rFonts w:ascii="Verdana" w:hAnsi="Verdana"/>
      <w:b/>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Ttulo1Char" w:customStyle="1">
    <w:name w:val="Título 1 Char"/>
    <w:qFormat/>
    <w:rsid w:val="00e16f69"/>
    <w:rPr>
      <w:rFonts w:ascii="Arial" w:hAnsi="Arial"/>
      <w:b/>
      <w:sz w:val="24"/>
    </w:rPr>
  </w:style>
  <w:style w:type="character" w:styleId="Corpodetexto2Char" w:customStyle="1">
    <w:name w:val="Corpo de texto 2 Char"/>
    <w:link w:val="BodyText2"/>
    <w:qFormat/>
    <w:rsid w:val="00667319"/>
    <w:rPr>
      <w:rFonts w:ascii="Verdana" w:hAnsi="Verdana"/>
    </w:rPr>
  </w:style>
  <w:style w:type="character" w:styleId="TextodenotaderodapChar" w:customStyle="1">
    <w:name w:val="Texto de nota de rodapé Char"/>
    <w:basedOn w:val="DefaultParagraphFont"/>
    <w:uiPriority w:val="99"/>
    <w:semiHidden/>
    <w:qFormat/>
    <w:rsid w:val="00d052a9"/>
    <w:rPr/>
  </w:style>
  <w:style w:type="character" w:styleId="FootnoteReference">
    <w:name w:val="footnote reference"/>
    <w:rPr>
      <w:vertAlign w:val="superscript"/>
    </w:rPr>
  </w:style>
  <w:style w:type="character" w:styleId="FootnoteCharacters">
    <w:name w:val="Footnote Characters"/>
    <w:basedOn w:val="DefaultParagraphFont"/>
    <w:uiPriority w:val="99"/>
    <w:semiHidden/>
    <w:unhideWhenUsed/>
    <w:qFormat/>
    <w:rsid w:val="00d052a9"/>
    <w:rPr>
      <w:vertAlign w:val="superscript"/>
    </w:rPr>
  </w:style>
  <w:style w:type="character" w:styleId="InternetLink">
    <w:name w:val="Internet Link"/>
    <w:basedOn w:val="DefaultParagraphFont"/>
    <w:uiPriority w:val="99"/>
    <w:unhideWhenUsed/>
    <w:qFormat/>
    <w:rsid w:val="00d44c60"/>
    <w:rPr>
      <w:color w:themeColor="hyperlink" w:val="0563C1"/>
      <w:u w:val="single"/>
    </w:rPr>
  </w:style>
  <w:style w:type="character" w:styleId="UnresolvedMention">
    <w:name w:val="Unresolved Mention"/>
    <w:basedOn w:val="DefaultParagraphFont"/>
    <w:uiPriority w:val="99"/>
    <w:semiHidden/>
    <w:unhideWhenUsed/>
    <w:qFormat/>
    <w:rsid w:val="00d44c60"/>
    <w:rPr>
      <w:color w:val="605E5C"/>
      <w:shd w:fill="E1DFDD" w:val="clear"/>
    </w:rPr>
  </w:style>
  <w:style w:type="character" w:styleId="fontstyle01" w:customStyle="1">
    <w:name w:val="fontstyle01"/>
    <w:basedOn w:val="DefaultParagraphFont"/>
    <w:qFormat/>
    <w:rsid w:val="0058646b"/>
    <w:rPr>
      <w:rFonts w:ascii="Helvetica-Bold" w:hAnsi="Helvetica-Bold"/>
      <w:b/>
      <w:bCs/>
      <w:i w:val="false"/>
      <w:iCs w:val="false"/>
      <w:color w:val="000000"/>
      <w:sz w:val="16"/>
      <w:szCs w:val="16"/>
    </w:rPr>
  </w:style>
  <w:style w:type="character" w:styleId="txtbox" w:customStyle="1">
    <w:name w:val="txtbox"/>
    <w:basedOn w:val="DefaultParagraphFont"/>
    <w:qFormat/>
    <w:rsid w:val="004a28f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jc w:val="both"/>
    </w:pPr>
    <w:rPr>
      <w:rFonts w:ascii="Arial" w:hAnsi="Arial"/>
      <w:sz w:val="24"/>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DocumentMap">
    <w:name w:val="Document Map"/>
    <w:basedOn w:val="Normal"/>
    <w:semiHidden/>
    <w:qFormat/>
    <w:pPr>
      <w:shd w:val="clear" w:color="auto" w:fill="000080"/>
    </w:pPr>
    <w:rPr>
      <w:rFonts w:ascii="Tahoma" w:hAnsi="Tahoma"/>
    </w:rPr>
  </w:style>
  <w:style w:type="paragraph" w:styleId="Cabealhoerodap">
    <w:name w:val="Cabeçalho e rodapé"/>
    <w:basedOn w:val="Normal"/>
    <w:qFormat/>
    <w:pPr/>
    <w:rPr/>
  </w:style>
  <w:style w:type="paragraph" w:styleId="Header">
    <w:name w:val="header"/>
    <w:basedOn w:val="Normal"/>
    <w:pPr>
      <w:tabs>
        <w:tab w:val="clear" w:pos="708"/>
        <w:tab w:val="center" w:pos="4419" w:leader="none"/>
        <w:tab w:val="right" w:pos="8838" w:leader="none"/>
      </w:tabs>
    </w:pPr>
    <w:rPr/>
  </w:style>
  <w:style w:type="paragraph" w:styleId="Footer">
    <w:name w:val="footer"/>
    <w:basedOn w:val="Normal"/>
    <w:pPr>
      <w:tabs>
        <w:tab w:val="clear" w:pos="708"/>
        <w:tab w:val="center" w:pos="4419" w:leader="none"/>
        <w:tab w:val="right" w:pos="8838" w:leader="none"/>
      </w:tabs>
    </w:pPr>
    <w:rPr/>
  </w:style>
  <w:style w:type="paragraph" w:styleId="BodyTextIndent2">
    <w:name w:val="Body Text Indent 2"/>
    <w:basedOn w:val="Normal"/>
    <w:qFormat/>
    <w:pPr>
      <w:ind w:firstLine="168" w:left="1248"/>
      <w:jc w:val="both"/>
    </w:pPr>
    <w:rPr>
      <w:rFonts w:ascii="Arial" w:hAnsi="Arial" w:cs="Arial"/>
      <w:sz w:val="24"/>
      <w:szCs w:val="24"/>
    </w:rPr>
  </w:style>
  <w:style w:type="paragraph" w:styleId="NormalWeb">
    <w:name w:val="Normal (Web)"/>
    <w:basedOn w:val="Normal"/>
    <w:uiPriority w:val="99"/>
    <w:qFormat/>
    <w:pPr>
      <w:spacing w:beforeAutospacing="1" w:afterAutospacing="1"/>
    </w:pPr>
    <w:rPr>
      <w:color w:val="000000"/>
      <w:sz w:val="24"/>
      <w:szCs w:val="24"/>
    </w:rPr>
  </w:style>
  <w:style w:type="paragraph" w:styleId="BodyText2">
    <w:name w:val="Body Text 2"/>
    <w:basedOn w:val="Normal"/>
    <w:link w:val="Corpodetexto2Char"/>
    <w:qFormat/>
    <w:pPr>
      <w:jc w:val="both"/>
    </w:pPr>
    <w:rPr>
      <w:rFonts w:ascii="Verdana" w:hAnsi="Verdana"/>
      <w:lang w:val="x-none" w:eastAsia="x-none"/>
    </w:rPr>
  </w:style>
  <w:style w:type="paragraph" w:styleId="BodyTextIndented">
    <w:name w:val="Body Text, Indented"/>
    <w:basedOn w:val="Normal"/>
    <w:qFormat/>
    <w:pPr>
      <w:ind w:left="360"/>
      <w:jc w:val="both"/>
    </w:pPr>
    <w:rPr>
      <w:rFonts w:ascii="Verdana" w:hAnsi="Verdana"/>
    </w:rPr>
  </w:style>
  <w:style w:type="paragraph" w:styleId="BodyTextIndent3">
    <w:name w:val="Body Text Indent 3"/>
    <w:basedOn w:val="Normal"/>
    <w:qFormat/>
    <w:pPr>
      <w:ind w:left="3119"/>
      <w:jc w:val="both"/>
    </w:pPr>
    <w:rPr>
      <w:rFonts w:ascii="Verdana" w:hAnsi="Verdana"/>
    </w:rPr>
  </w:style>
  <w:style w:type="paragraph" w:styleId="Default" w:customStyle="1">
    <w:name w:val="Default"/>
    <w:qFormat/>
    <w:pPr>
      <w:widowControl/>
      <w:bidi w:val="0"/>
      <w:spacing w:before="0" w:after="0"/>
      <w:jc w:val="left"/>
    </w:pPr>
    <w:rPr>
      <w:rFonts w:ascii="Verdana" w:hAnsi="Verdana" w:eastAsia="Times New Roman" w:cs="Times New Roman"/>
      <w:color w:val="auto"/>
      <w:kern w:val="0"/>
      <w:sz w:val="20"/>
      <w:szCs w:val="20"/>
      <w:lang w:val="pt-BR" w:eastAsia="pt-BR" w:bidi="ar-SA"/>
    </w:rPr>
  </w:style>
  <w:style w:type="paragraph" w:styleId="BodyText3">
    <w:name w:val="Body Text 3"/>
    <w:basedOn w:val="Normal"/>
    <w:qFormat/>
    <w:pPr>
      <w:jc w:val="both"/>
    </w:pPr>
    <w:rPr>
      <w:rFonts w:ascii="Verdana" w:hAnsi="Verdana"/>
      <w:sz w:val="18"/>
    </w:rPr>
  </w:style>
  <w:style w:type="paragraph" w:styleId="BalloonText">
    <w:name w:val="Balloon Text"/>
    <w:basedOn w:val="Normal"/>
    <w:semiHidden/>
    <w:qFormat/>
    <w:pPr/>
    <w:rPr>
      <w:rFonts w:ascii="Tahoma" w:hAnsi="Tahoma" w:cs="Tahoma"/>
      <w:sz w:val="16"/>
      <w:szCs w:val="16"/>
    </w:rPr>
  </w:style>
  <w:style w:type="paragraph" w:styleId="BlockText">
    <w:name w:val="Block Text"/>
    <w:basedOn w:val="Normal"/>
    <w:qFormat/>
    <w:pPr>
      <w:spacing w:lineRule="auto" w:line="288"/>
      <w:ind w:left="567" w:right="566"/>
      <w:jc w:val="both"/>
    </w:pPr>
    <w:rPr>
      <w:rFonts w:ascii="Verdana" w:hAnsi="Verdana" w:cs="Arial"/>
      <w:b/>
      <w:color w:val="00FF00"/>
    </w:rPr>
  </w:style>
  <w:style w:type="paragraph" w:styleId="ListParagraph">
    <w:name w:val="List Paragraph"/>
    <w:basedOn w:val="Normal"/>
    <w:uiPriority w:val="34"/>
    <w:qFormat/>
    <w:rsid w:val="00820708"/>
    <w:pPr>
      <w:spacing w:before="0" w:after="0"/>
      <w:ind w:left="720"/>
      <w:contextualSpacing/>
    </w:pPr>
    <w:rPr/>
  </w:style>
  <w:style w:type="paragraph" w:styleId="FootnoteText">
    <w:name w:val="footnote text"/>
    <w:basedOn w:val="Normal"/>
    <w:link w:val="TextodenotaderodapChar"/>
    <w:uiPriority w:val="99"/>
    <w:semiHidden/>
    <w:unhideWhenUsed/>
    <w:rsid w:val="00d052a9"/>
    <w:pPr/>
    <w:rPr/>
  </w:style>
  <w:style w:type="paragraph" w:styleId="Contedodoquadro">
    <w:name w:val="Conteúdo do quadro"/>
    <w:basedOn w:val="Normal"/>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rsid w:val="00b84e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1Clara">
    <w:name w:val="Grid Table 1 Light"/>
    <w:basedOn w:val="Tabelanormal"/>
    <w:uiPriority w:val="46"/>
    <w:rsid w:val="0061534d"/>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gpo@gebras.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EAF5358B3CDDA44AAB518F78C76C0609" ma:contentTypeVersion="16" ma:contentTypeDescription="Crie um novo documento." ma:contentTypeScope="" ma:versionID="539be051f84dd43ba58146d83f47ae40">
  <xsd:schema xmlns:xsd="http://www.w3.org/2001/XMLSchema" xmlns:xs="http://www.w3.org/2001/XMLSchema" xmlns:p="http://schemas.microsoft.com/office/2006/metadata/properties" xmlns:ns2="5ff00d40-7534-4276-883e-c1d1cd643ab8" xmlns:ns3="a0876069-188c-4c9d-b65c-12a8bdb3bb4f" targetNamespace="http://schemas.microsoft.com/office/2006/metadata/properties" ma:root="true" ma:fieldsID="602735f69b12ac9ebadb47690b02d75e" ns2:_="" ns3:_="">
    <xsd:import namespace="5ff00d40-7534-4276-883e-c1d1cd643ab8"/>
    <xsd:import namespace="a0876069-188c-4c9d-b65c-12a8bdb3bb4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f00d40-7534-4276-883e-c1d1cd643a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45421319-5200-4ce0-bf11-aef78280af4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0876069-188c-4c9d-b65c-12a8bdb3bb4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4d6b8da-8386-4d56-9ac1-747c799d3cd0}" ma:internalName="TaxCatchAll" ma:showField="CatchAllData" ma:web="a0876069-188c-4c9d-b65c-12a8bdb3bb4f">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0876069-188c-4c9d-b65c-12a8bdb3bb4f" xsi:nil="true"/>
    <lcf76f155ced4ddcb4097134ff3c332f xmlns="5ff00d40-7534-4276-883e-c1d1cd643ab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61726F-1BF0-4E93-ADF0-016D77FC5C39}">
  <ds:schemaRefs>
    <ds:schemaRef ds:uri="http://schemas.openxmlformats.org/officeDocument/2006/bibliography"/>
  </ds:schemaRefs>
</ds:datastoreItem>
</file>

<file path=customXml/itemProps2.xml><?xml version="1.0" encoding="utf-8"?>
<ds:datastoreItem xmlns:ds="http://schemas.openxmlformats.org/officeDocument/2006/customXml" ds:itemID="{28CB238B-4EB2-4329-8C2A-3AB157A750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f00d40-7534-4276-883e-c1d1cd643ab8"/>
    <ds:schemaRef ds:uri="a0876069-188c-4c9d-b65c-12a8bdb3bb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AA12C2-AFD2-43B5-98ED-01DAD8DF0DEC}">
  <ds:schemaRefs>
    <ds:schemaRef ds:uri="http://schemas.microsoft.com/office/2006/metadata/properties"/>
    <ds:schemaRef ds:uri="http://schemas.microsoft.com/office/infopath/2007/PartnerControls"/>
    <ds:schemaRef ds:uri="a0876069-188c-4c9d-b65c-12a8bdb3bb4f"/>
    <ds:schemaRef ds:uri="5ff00d40-7534-4276-883e-c1d1cd643ab8"/>
  </ds:schemaRefs>
</ds:datastoreItem>
</file>

<file path=customXml/itemProps4.xml><?xml version="1.0" encoding="utf-8"?>
<ds:datastoreItem xmlns:ds="http://schemas.openxmlformats.org/officeDocument/2006/customXml" ds:itemID="{33F2141A-BC78-4F54-B5A4-F37AFD5E50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321</TotalTime>
  <Application>LibreOffice/24.8.0.3$Windows_X86_64 LibreOffice_project/0bdf1299c94fe897b119f97f3c613e9dca6be583</Application>
  <AppVersion>15.0000</AppVersion>
  <Pages>6</Pages>
  <Words>3934</Words>
  <Characters>22874</Characters>
  <CharactersWithSpaces>26610</CharactersWithSpaces>
  <Paragraphs>196</Paragraphs>
  <Company>Acer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2025-03-11T21:41:00Z</dcterms:created>
  <dc:creator>AcerMate</dc:creator>
  <dc:description/>
  <dc:language>pt-BR</dc:language>
  <cp:lastModifiedBy/>
  <cp:lastPrinted>2025-03-11T22:06:00Z</cp:lastPrinted>
  <dcterms:modified xsi:type="dcterms:W3CDTF">2026-05-25T16:19:23Z</dcterms:modified>
  <cp:revision>114</cp:revision>
  <dc:subject/>
  <dc:title>CONTRATO Nº &lt;NÚMERO&gt;/&lt;ANO&gt;</dc:titl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0x010100EAF5358B3CDDA44AAB518F78C76C0609</vt:lpwstr>
  </property>
</Properties>
</file>