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375" w:rsidRPr="00F63375" w:rsidRDefault="00F63375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3375">
        <w:rPr>
          <w:rFonts w:ascii="Times New Roman" w:hAnsi="Times New Roman" w:cs="Times New Roman"/>
          <w:b/>
          <w:sz w:val="28"/>
          <w:szCs w:val="28"/>
        </w:rPr>
        <w:t>Биомеханический анализ выполнения приёма Учи Мата в дзюдо</w:t>
      </w:r>
    </w:p>
    <w:p w:rsidR="00AD7DBC" w:rsidRPr="008476C0" w:rsidRDefault="00646097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1. Постановка задачи</w:t>
      </w:r>
    </w:p>
    <w:p w:rsidR="00AD7DBC" w:rsidRDefault="00AD7DBC" w:rsidP="00AD7DB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исследования является создание модели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движений в тазобедренн</w:t>
      </w:r>
      <w:r w:rsidR="00646097">
        <w:rPr>
          <w:rFonts w:ascii="Times New Roman" w:hAnsi="Times New Roman" w:cs="Times New Roman"/>
          <w:sz w:val="28"/>
          <w:szCs w:val="28"/>
        </w:rPr>
        <w:t>ых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сустав</w:t>
      </w:r>
      <w:r w:rsidR="00646097">
        <w:rPr>
          <w:rFonts w:ascii="Times New Roman" w:hAnsi="Times New Roman" w:cs="Times New Roman"/>
          <w:sz w:val="28"/>
          <w:szCs w:val="28"/>
        </w:rPr>
        <w:t>ах</w:t>
      </w:r>
      <w:r w:rsidR="00646097" w:rsidRPr="00646097">
        <w:rPr>
          <w:rFonts w:ascii="Times New Roman" w:hAnsi="Times New Roman" w:cs="Times New Roman"/>
          <w:sz w:val="28"/>
          <w:szCs w:val="28"/>
        </w:rPr>
        <w:t xml:space="preserve"> при выполнения броска</w:t>
      </w:r>
      <w:r w:rsidR="00646097">
        <w:rPr>
          <w:rFonts w:ascii="Times New Roman" w:hAnsi="Times New Roman" w:cs="Times New Roman"/>
          <w:sz w:val="28"/>
          <w:szCs w:val="28"/>
        </w:rPr>
        <w:t xml:space="preserve"> </w:t>
      </w:r>
      <w:r w:rsidR="00646097" w:rsidRPr="00646097">
        <w:rPr>
          <w:rFonts w:ascii="Times New Roman" w:hAnsi="Times New Roman" w:cs="Times New Roman"/>
          <w:sz w:val="28"/>
          <w:szCs w:val="28"/>
        </w:rPr>
        <w:t>Учи Мата в дзюдо</w:t>
      </w:r>
      <w:r w:rsidR="00646097">
        <w:rPr>
          <w:rFonts w:ascii="Times New Roman" w:hAnsi="Times New Roman" w:cs="Times New Roman"/>
          <w:sz w:val="28"/>
          <w:szCs w:val="28"/>
        </w:rPr>
        <w:t xml:space="preserve"> для совершенствования спортивной подготовки.</w:t>
      </w:r>
    </w:p>
    <w:p w:rsidR="00646097" w:rsidRPr="008476C0" w:rsidRDefault="00646097" w:rsidP="00AD7DBC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646097" w:rsidRDefault="00646097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A45876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76">
        <w:rPr>
          <w:rFonts w:ascii="Times New Roman" w:hAnsi="Times New Roman" w:cs="Times New Roman"/>
          <w:sz w:val="28"/>
          <w:szCs w:val="28"/>
        </w:rPr>
        <w:t>программу,</w:t>
      </w:r>
      <w:r>
        <w:rPr>
          <w:rFonts w:ascii="Times New Roman" w:hAnsi="Times New Roman" w:cs="Times New Roman"/>
          <w:sz w:val="28"/>
          <w:szCs w:val="28"/>
        </w:rPr>
        <w:t xml:space="preserve"> оценивающ</w:t>
      </w:r>
      <w:r w:rsidR="00A45876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5876">
        <w:rPr>
          <w:rFonts w:ascii="Times New Roman" w:hAnsi="Times New Roman" w:cs="Times New Roman"/>
          <w:sz w:val="28"/>
          <w:szCs w:val="28"/>
        </w:rPr>
        <w:t>углы сгиба в основных суставах человека и возвращающей датасет в пригодном для анализа виде.</w:t>
      </w:r>
    </w:p>
    <w:p w:rsidR="00A45876" w:rsidRDefault="00A45876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анализ </w:t>
      </w:r>
      <w:r w:rsidR="008476C0">
        <w:rPr>
          <w:rFonts w:ascii="Times New Roman" w:hAnsi="Times New Roman" w:cs="Times New Roman"/>
          <w:sz w:val="28"/>
          <w:szCs w:val="28"/>
        </w:rPr>
        <w:t>аналогичных решений</w:t>
      </w:r>
      <w:r>
        <w:rPr>
          <w:rFonts w:ascii="Times New Roman" w:hAnsi="Times New Roman" w:cs="Times New Roman"/>
          <w:sz w:val="28"/>
          <w:szCs w:val="28"/>
        </w:rPr>
        <w:t xml:space="preserve"> по теме исследования</w:t>
      </w:r>
    </w:p>
    <w:p w:rsidR="008476C0" w:rsidRDefault="008476C0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Осуществить предварительный анализ полученных данных</w:t>
      </w:r>
    </w:p>
    <w:p w:rsidR="008476C0" w:rsidRDefault="008476C0" w:rsidP="006460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модель и внедрить её в спортивную практику</w:t>
      </w:r>
    </w:p>
    <w:p w:rsidR="008476C0" w:rsidRDefault="008476C0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76C0">
        <w:rPr>
          <w:rFonts w:ascii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754FB">
        <w:rPr>
          <w:rFonts w:ascii="Times New Roman" w:hAnsi="Times New Roman" w:cs="Times New Roman"/>
          <w:sz w:val="28"/>
          <w:szCs w:val="28"/>
        </w:rPr>
        <w:t>Для совершенствования бросков в дзюдо используется метод биомеханического моделирования</w:t>
      </w:r>
      <w:r w:rsidR="000754FB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="00F222CD">
        <w:rPr>
          <w:rStyle w:val="a6"/>
          <w:rFonts w:ascii="Times New Roman" w:hAnsi="Times New Roman" w:cs="Times New Roman"/>
          <w:sz w:val="28"/>
          <w:szCs w:val="28"/>
        </w:rPr>
        <w:footnoteReference w:id="2"/>
      </w:r>
      <w:r w:rsidR="000754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Бросок Учи-мата </w:t>
      </w:r>
      <w:r w:rsidR="0000418E">
        <w:rPr>
          <w:rFonts w:ascii="Times New Roman" w:hAnsi="Times New Roman" w:cs="Times New Roman"/>
          <w:sz w:val="28"/>
          <w:szCs w:val="28"/>
        </w:rPr>
        <w:t>принадлежит группе</w:t>
      </w:r>
      <w:r>
        <w:rPr>
          <w:rFonts w:ascii="Times New Roman" w:hAnsi="Times New Roman" w:cs="Times New Roman"/>
          <w:sz w:val="28"/>
          <w:szCs w:val="28"/>
        </w:rPr>
        <w:t xml:space="preserve"> популярных и результативных</w:t>
      </w:r>
      <w:r w:rsidR="00191803">
        <w:rPr>
          <w:rStyle w:val="a6"/>
          <w:rFonts w:ascii="Times New Roman" w:hAnsi="Times New Roman" w:cs="Times New Roman"/>
          <w:sz w:val="28"/>
          <w:szCs w:val="28"/>
        </w:rPr>
        <w:footnoteReference w:id="3"/>
      </w:r>
      <w:r w:rsidR="0000418E">
        <w:rPr>
          <w:rStyle w:val="a6"/>
          <w:rFonts w:ascii="Times New Roman" w:hAnsi="Times New Roman" w:cs="Times New Roman"/>
          <w:sz w:val="28"/>
          <w:szCs w:val="28"/>
        </w:rPr>
        <w:footnoteReference w:id="4"/>
      </w:r>
      <w:r w:rsidR="0000418E">
        <w:rPr>
          <w:rStyle w:val="a6"/>
          <w:rFonts w:ascii="Times New Roman" w:hAnsi="Times New Roman" w:cs="Times New Roman"/>
          <w:sz w:val="28"/>
          <w:szCs w:val="28"/>
        </w:rPr>
        <w:footnoteReference w:id="5"/>
      </w:r>
      <w:r>
        <w:rPr>
          <w:rFonts w:ascii="Times New Roman" w:hAnsi="Times New Roman" w:cs="Times New Roman"/>
          <w:sz w:val="28"/>
          <w:szCs w:val="28"/>
        </w:rPr>
        <w:t xml:space="preserve">. Он относится к группе бросков, выполняемых преимущественно ногами </w:t>
      </w:r>
      <w:r w:rsidRPr="008476C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476C0">
        <w:rPr>
          <w:rFonts w:ascii="MS Gothic" w:eastAsia="MS Gothic" w:hAnsi="MS Gothic" w:cs="MS Gothic" w:hint="eastAsia"/>
          <w:sz w:val="28"/>
          <w:szCs w:val="28"/>
        </w:rPr>
        <w:t>内股</w:t>
      </w:r>
      <w:proofErr w:type="spellEnd"/>
      <w:r w:rsidRPr="008476C0">
        <w:rPr>
          <w:rFonts w:ascii="Times New Roman" w:hAnsi="Times New Roman" w:cs="Times New Roman"/>
          <w:sz w:val="28"/>
          <w:szCs w:val="28"/>
        </w:rPr>
        <w:t>, «бросок воздействием на внутреннюю поверхность бедра»)</w:t>
      </w:r>
      <w:r w:rsidR="0000418E">
        <w:rPr>
          <w:rFonts w:ascii="Times New Roman" w:hAnsi="Times New Roman" w:cs="Times New Roman"/>
          <w:sz w:val="28"/>
          <w:szCs w:val="28"/>
        </w:rPr>
        <w:t>. Соответственно для тренировки используются в основном упражнения, направленные на развитие атакующего движения ногой.</w:t>
      </w:r>
      <w:r w:rsidR="00191803">
        <w:rPr>
          <w:rFonts w:ascii="Times New Roman" w:hAnsi="Times New Roman" w:cs="Times New Roman"/>
          <w:sz w:val="28"/>
          <w:szCs w:val="28"/>
        </w:rPr>
        <w:t xml:space="preserve"> При этом существуют мнения, что основной вклад в это движение вносит не нога, а движение туловища</w:t>
      </w:r>
      <w:r w:rsidR="000754FB">
        <w:rPr>
          <w:rStyle w:val="a6"/>
          <w:rFonts w:ascii="Times New Roman" w:hAnsi="Times New Roman" w:cs="Times New Roman"/>
          <w:sz w:val="28"/>
          <w:szCs w:val="28"/>
        </w:rPr>
        <w:footnoteReference w:id="6"/>
      </w:r>
      <w:r w:rsidR="00191803">
        <w:rPr>
          <w:rFonts w:ascii="Times New Roman" w:hAnsi="Times New Roman" w:cs="Times New Roman"/>
          <w:sz w:val="28"/>
          <w:szCs w:val="28"/>
        </w:rPr>
        <w:t>.</w:t>
      </w:r>
      <w:r w:rsidR="000754FB">
        <w:rPr>
          <w:rFonts w:ascii="Times New Roman" w:hAnsi="Times New Roman" w:cs="Times New Roman"/>
          <w:sz w:val="28"/>
          <w:szCs w:val="28"/>
        </w:rPr>
        <w:t xml:space="preserve"> Это </w:t>
      </w:r>
      <w:r w:rsidR="00F222CD">
        <w:rPr>
          <w:rFonts w:ascii="Times New Roman" w:hAnsi="Times New Roman" w:cs="Times New Roman"/>
          <w:sz w:val="28"/>
          <w:szCs w:val="28"/>
        </w:rPr>
        <w:t>противоречие,</w:t>
      </w:r>
      <w:r w:rsidR="000754FB">
        <w:rPr>
          <w:rFonts w:ascii="Times New Roman" w:hAnsi="Times New Roman" w:cs="Times New Roman"/>
          <w:sz w:val="28"/>
          <w:szCs w:val="28"/>
        </w:rPr>
        <w:t xml:space="preserve"> не позволяющее однозначно </w:t>
      </w:r>
      <w:r w:rsidR="00F222CD">
        <w:rPr>
          <w:rFonts w:ascii="Times New Roman" w:hAnsi="Times New Roman" w:cs="Times New Roman"/>
          <w:sz w:val="28"/>
          <w:szCs w:val="28"/>
        </w:rPr>
        <w:t>создать эффективную тренировочную программу и обусловило актуальность нашей работы.</w:t>
      </w:r>
    </w:p>
    <w:p w:rsidR="008476C0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F222CD">
        <w:rPr>
          <w:rFonts w:ascii="Times New Roman" w:hAnsi="Times New Roman" w:cs="Times New Roman"/>
          <w:b/>
          <w:sz w:val="28"/>
          <w:szCs w:val="28"/>
        </w:rPr>
        <w:t>метрик качества</w:t>
      </w:r>
      <w:r>
        <w:rPr>
          <w:rFonts w:ascii="Times New Roman" w:hAnsi="Times New Roman" w:cs="Times New Roman"/>
          <w:sz w:val="28"/>
          <w:szCs w:val="28"/>
        </w:rPr>
        <w:t xml:space="preserve"> модели выбраны </w:t>
      </w:r>
      <w:r w:rsidRPr="00F222CD">
        <w:rPr>
          <w:rFonts w:ascii="Times New Roman" w:hAnsi="Times New Roman" w:cs="Times New Roman"/>
          <w:b/>
          <w:sz w:val="28"/>
          <w:szCs w:val="28"/>
        </w:rPr>
        <w:t>R</w:t>
      </w:r>
      <w:r w:rsidRPr="00F222C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913AD" w:rsidRPr="00B913AD">
        <w:rPr>
          <w:rFonts w:ascii="Times New Roman" w:hAnsi="Times New Roman" w:cs="Times New Roman"/>
          <w:b/>
          <w:sz w:val="28"/>
          <w:szCs w:val="28"/>
          <w:lang w:val="en-US"/>
        </w:rPr>
        <w:t>RMSE</w:t>
      </w:r>
      <w:r w:rsidR="00B913AD" w:rsidRPr="00B913A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оценка экспертами из </w:t>
      </w:r>
      <w:r w:rsidR="009B10E1">
        <w:rPr>
          <w:rFonts w:ascii="Times New Roman" w:hAnsi="Times New Roman" w:cs="Times New Roman"/>
          <w:sz w:val="28"/>
          <w:szCs w:val="28"/>
        </w:rPr>
        <w:t xml:space="preserve">области </w:t>
      </w:r>
      <w:r>
        <w:rPr>
          <w:rFonts w:ascii="Times New Roman" w:hAnsi="Times New Roman" w:cs="Times New Roman"/>
          <w:sz w:val="28"/>
          <w:szCs w:val="28"/>
        </w:rPr>
        <w:t>единоборств.</w:t>
      </w:r>
    </w:p>
    <w:p w:rsidR="00F222CD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3C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22CD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F222CD" w:rsidRDefault="00F222C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9133C">
        <w:rPr>
          <w:rFonts w:ascii="Times New Roman" w:hAnsi="Times New Roman" w:cs="Times New Roman"/>
          <w:b/>
          <w:sz w:val="28"/>
          <w:szCs w:val="28"/>
        </w:rPr>
        <w:t>Аналогичные решения</w:t>
      </w:r>
      <w:r>
        <w:rPr>
          <w:rFonts w:ascii="Times New Roman" w:hAnsi="Times New Roman" w:cs="Times New Roman"/>
          <w:sz w:val="28"/>
          <w:szCs w:val="28"/>
        </w:rPr>
        <w:t xml:space="preserve"> для оценки позы человека с помощью компьютерного зрения</w:t>
      </w:r>
      <w:r w:rsidR="00F438D6">
        <w:rPr>
          <w:rFonts w:ascii="Times New Roman" w:hAnsi="Times New Roman" w:cs="Times New Roman"/>
          <w:sz w:val="28"/>
          <w:szCs w:val="28"/>
        </w:rPr>
        <w:t xml:space="preserve"> были реализованы </w:t>
      </w:r>
      <w:proofErr w:type="spellStart"/>
      <w:r w:rsidR="00F438D6" w:rsidRPr="00F438D6">
        <w:rPr>
          <w:rFonts w:ascii="Times New Roman" w:hAnsi="Times New Roman" w:cs="Times New Roman"/>
          <w:sz w:val="28"/>
          <w:szCs w:val="28"/>
        </w:rPr>
        <w:t>MediaPipe</w:t>
      </w:r>
      <w:proofErr w:type="spellEnd"/>
      <w:r w:rsidR="00F438D6">
        <w:rPr>
          <w:rStyle w:val="a6"/>
          <w:rFonts w:ascii="Times New Roman" w:hAnsi="Times New Roman" w:cs="Times New Roman"/>
          <w:sz w:val="28"/>
          <w:szCs w:val="28"/>
        </w:rPr>
        <w:footnoteReference w:id="7"/>
      </w:r>
      <w:r w:rsidR="00F438D6">
        <w:rPr>
          <w:rStyle w:val="a6"/>
          <w:rFonts w:ascii="Times New Roman" w:hAnsi="Times New Roman" w:cs="Times New Roman"/>
          <w:sz w:val="28"/>
          <w:szCs w:val="28"/>
        </w:rPr>
        <w:footnoteReference w:id="8"/>
      </w:r>
      <w:r w:rsidR="00F438D6">
        <w:rPr>
          <w:rFonts w:ascii="Times New Roman" w:hAnsi="Times New Roman" w:cs="Times New Roman"/>
          <w:sz w:val="28"/>
          <w:szCs w:val="28"/>
        </w:rPr>
        <w:t>, для нашей работы мы использовали эту библиотеку как основу для определения координат точек на теле человека, затем методами аналитической геометрии и линейной алгебры получили величины интересующих нас углов, дополнительно добавив проверку на качество и устранив некачественные фреймы на стадии обработки для получения уже очищенных данных. Дополнительно было добавлено формирование датасета с интересующими нас углами</w:t>
      </w:r>
      <w:r w:rsidR="00B02282">
        <w:rPr>
          <w:rStyle w:val="a6"/>
          <w:rFonts w:ascii="Times New Roman" w:hAnsi="Times New Roman" w:cs="Times New Roman"/>
          <w:sz w:val="28"/>
          <w:szCs w:val="28"/>
        </w:rPr>
        <w:footnoteReference w:id="9"/>
      </w:r>
      <w:r w:rsidR="00F438D6">
        <w:rPr>
          <w:rFonts w:ascii="Times New Roman" w:hAnsi="Times New Roman" w:cs="Times New Roman"/>
          <w:sz w:val="28"/>
          <w:szCs w:val="28"/>
        </w:rPr>
        <w:t>.</w:t>
      </w:r>
      <w:r w:rsidR="0049133C">
        <w:rPr>
          <w:rFonts w:ascii="Times New Roman" w:hAnsi="Times New Roman" w:cs="Times New Roman"/>
          <w:sz w:val="28"/>
          <w:szCs w:val="28"/>
        </w:rPr>
        <w:t xml:space="preserve"> Решения по </w:t>
      </w:r>
      <w:r w:rsidR="00E7126D">
        <w:rPr>
          <w:rFonts w:ascii="Times New Roman" w:hAnsi="Times New Roman" w:cs="Times New Roman"/>
          <w:sz w:val="28"/>
          <w:szCs w:val="28"/>
        </w:rPr>
        <w:t xml:space="preserve">биомеханическому </w:t>
      </w:r>
      <w:r w:rsidR="0049133C">
        <w:rPr>
          <w:rFonts w:ascii="Times New Roman" w:hAnsi="Times New Roman" w:cs="Times New Roman"/>
          <w:sz w:val="28"/>
          <w:szCs w:val="28"/>
        </w:rPr>
        <w:t xml:space="preserve">исследованию </w:t>
      </w:r>
      <w:r w:rsidR="002C46F0">
        <w:rPr>
          <w:rFonts w:ascii="Times New Roman" w:hAnsi="Times New Roman" w:cs="Times New Roman"/>
          <w:sz w:val="28"/>
          <w:szCs w:val="28"/>
        </w:rPr>
        <w:t>броска</w:t>
      </w:r>
      <w:r w:rsidR="00E7126D">
        <w:rPr>
          <w:rFonts w:ascii="Times New Roman" w:hAnsi="Times New Roman" w:cs="Times New Roman"/>
          <w:sz w:val="28"/>
          <w:szCs w:val="28"/>
        </w:rPr>
        <w:t xml:space="preserve"> на основе измерения углов были посвящены сохранению собственной устойчивости и нарушению равновесия соперника</w:t>
      </w:r>
      <w:r w:rsidR="00E7126D">
        <w:rPr>
          <w:rStyle w:val="a6"/>
          <w:rFonts w:ascii="Times New Roman" w:hAnsi="Times New Roman" w:cs="Times New Roman"/>
          <w:sz w:val="28"/>
          <w:szCs w:val="28"/>
        </w:rPr>
        <w:footnoteReference w:id="10"/>
      </w:r>
      <w:r w:rsidR="00B02282">
        <w:rPr>
          <w:rStyle w:val="a6"/>
          <w:rFonts w:ascii="Times New Roman" w:hAnsi="Times New Roman" w:cs="Times New Roman"/>
          <w:sz w:val="28"/>
          <w:szCs w:val="28"/>
        </w:rPr>
        <w:footnoteReference w:id="11"/>
      </w:r>
      <w:r w:rsidR="00FD33D0">
        <w:rPr>
          <w:rFonts w:ascii="Times New Roman" w:hAnsi="Times New Roman" w:cs="Times New Roman"/>
          <w:sz w:val="28"/>
          <w:szCs w:val="28"/>
        </w:rPr>
        <w:t>, а так же времени фаз броска и угла сгиба в колене и бедре атакующей ноги</w:t>
      </w:r>
      <w:r w:rsidR="00FD33D0">
        <w:rPr>
          <w:rStyle w:val="a6"/>
          <w:rFonts w:ascii="Times New Roman" w:hAnsi="Times New Roman" w:cs="Times New Roman"/>
          <w:sz w:val="28"/>
          <w:szCs w:val="28"/>
        </w:rPr>
        <w:footnoteReference w:id="12"/>
      </w:r>
      <w:r w:rsidR="00FD33D0">
        <w:rPr>
          <w:rFonts w:ascii="Times New Roman" w:hAnsi="Times New Roman" w:cs="Times New Roman"/>
          <w:sz w:val="28"/>
          <w:szCs w:val="28"/>
        </w:rPr>
        <w:t xml:space="preserve">, чаще всего исследователи ограничивались просто </w:t>
      </w:r>
      <w:r w:rsidR="00B02282">
        <w:rPr>
          <w:rFonts w:ascii="Times New Roman" w:hAnsi="Times New Roman" w:cs="Times New Roman"/>
          <w:sz w:val="28"/>
          <w:szCs w:val="28"/>
        </w:rPr>
        <w:t xml:space="preserve">оценкой соотношения </w:t>
      </w:r>
      <w:r w:rsidR="00FD33D0">
        <w:rPr>
          <w:rFonts w:ascii="Times New Roman" w:hAnsi="Times New Roman" w:cs="Times New Roman"/>
          <w:sz w:val="28"/>
          <w:szCs w:val="28"/>
        </w:rPr>
        <w:t>времен</w:t>
      </w:r>
      <w:r w:rsidR="00B02282">
        <w:rPr>
          <w:rFonts w:ascii="Times New Roman" w:hAnsi="Times New Roman" w:cs="Times New Roman"/>
          <w:sz w:val="28"/>
          <w:szCs w:val="28"/>
        </w:rPr>
        <w:t>и</w:t>
      </w:r>
      <w:r w:rsidR="00FD33D0">
        <w:rPr>
          <w:rFonts w:ascii="Times New Roman" w:hAnsi="Times New Roman" w:cs="Times New Roman"/>
          <w:sz w:val="28"/>
          <w:szCs w:val="28"/>
        </w:rPr>
        <w:t xml:space="preserve"> фаз броска</w:t>
      </w:r>
      <w:r w:rsidR="00B02282">
        <w:rPr>
          <w:rFonts w:ascii="Times New Roman" w:hAnsi="Times New Roman" w:cs="Times New Roman"/>
          <w:sz w:val="28"/>
          <w:szCs w:val="28"/>
        </w:rPr>
        <w:t xml:space="preserve"> и положения центра тяжести для оценки устойчивости</w:t>
      </w:r>
      <w:r w:rsidR="00FD33D0">
        <w:rPr>
          <w:rStyle w:val="a6"/>
          <w:rFonts w:ascii="Times New Roman" w:hAnsi="Times New Roman" w:cs="Times New Roman"/>
          <w:sz w:val="28"/>
          <w:szCs w:val="28"/>
        </w:rPr>
        <w:footnoteReference w:id="13"/>
      </w:r>
      <w:r w:rsidR="00B02282">
        <w:rPr>
          <w:rFonts w:ascii="Times New Roman" w:hAnsi="Times New Roman" w:cs="Times New Roman"/>
          <w:sz w:val="28"/>
          <w:szCs w:val="28"/>
        </w:rPr>
        <w:t>.</w:t>
      </w:r>
    </w:p>
    <w:p w:rsidR="00B02282" w:rsidRDefault="00B02282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с помощью программы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4"/>
      </w:r>
      <w:r>
        <w:rPr>
          <w:rFonts w:ascii="Times New Roman" w:hAnsi="Times New Roman" w:cs="Times New Roman"/>
          <w:sz w:val="28"/>
          <w:szCs w:val="28"/>
        </w:rPr>
        <w:t xml:space="preserve"> набор данных содержал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5"/>
      </w:r>
      <w:r>
        <w:rPr>
          <w:rFonts w:ascii="Times New Roman" w:hAnsi="Times New Roman" w:cs="Times New Roman"/>
          <w:sz w:val="28"/>
          <w:szCs w:val="28"/>
        </w:rPr>
        <w:t xml:space="preserve"> значения углов за 1039 временных промежутков, все данные были значимыми и пропуски были отсеяны на этапе получения данных. </w:t>
      </w:r>
      <w:r w:rsidR="00F91BFF">
        <w:rPr>
          <w:rFonts w:ascii="Times New Roman" w:hAnsi="Times New Roman" w:cs="Times New Roman"/>
          <w:sz w:val="28"/>
          <w:szCs w:val="28"/>
        </w:rPr>
        <w:t>Для анализа был сформирован выборочный датасет содержащий только угол между туловищем и левым бедром (показатель наклона, вклада туловища в исполнение броска) и между туловищем и правым бедром (показатель активности атакующей ноги)</w:t>
      </w:r>
      <w:r w:rsidR="00F63375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F91BF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Методика решения</w:t>
      </w:r>
    </w:p>
    <w:p w:rsidR="002A15FA" w:rsidRPr="002A15FA" w:rsidRDefault="0006067D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Получив набор данных с помощью созданной </w:t>
      </w:r>
      <w:r w:rsidR="00AF0F8E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мы произвели визуализацию необработанных данных.</w:t>
      </w:r>
    </w:p>
    <w:p w:rsidR="00F91BFF" w:rsidRDefault="00F91BFF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>
            <wp:extent cx="2314575" cy="3154313"/>
            <wp:effectExtent l="0" t="0" r="0" b="8255"/>
            <wp:docPr id="2" name="Рисунок 2" descr="C:\Users\user\AppData\Local\Microsoft\Windows\INetCache\Content.Word\68747470733a2f2f7261772e67697468756275736572636f6e74656e742e636f6d2f766e3332322f53706f72742d556e69766572736974792f6d61696e2f53637265656e73686f745f342e6a7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68747470733a2f2f7261772e67697468756275736572636f6e74656e742e636f6d2f766e3332322f53706f72742d556e69766572736974792f6d61696e2f53637265656e73686f745f342e6a706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320" cy="317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7E54">
        <w:rPr>
          <w:noProof/>
          <w:lang w:eastAsia="zh-CN"/>
        </w:rPr>
        <w:drawing>
          <wp:inline distT="0" distB="0" distL="0" distR="0" wp14:anchorId="4C9041C6" wp14:editId="653EB560">
            <wp:extent cx="2171700" cy="313372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BFF" w:rsidRDefault="00F91BFF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F6337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3375">
        <w:rPr>
          <w:rFonts w:ascii="Times New Roman" w:hAnsi="Times New Roman" w:cs="Times New Roman"/>
          <w:sz w:val="28"/>
          <w:szCs w:val="28"/>
        </w:rPr>
        <w:t>Красным цветом изображён угол атакующей ноги, жёлтым – угол наклона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серии бросков показала наличие явных паттернов движения (рис.2)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zh-CN"/>
        </w:rPr>
        <w:drawing>
          <wp:inline distT="0" distB="0" distL="0" distR="0" wp14:anchorId="3871B7FC" wp14:editId="7DAC0F9E">
            <wp:extent cx="5095875" cy="289242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709" cy="291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3375" w:rsidRP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Рис.2 – Диаграмма амплитуды движения нижних конечностей </w:t>
      </w:r>
      <w:r w:rsidRPr="00F7574C">
        <w:rPr>
          <w:rFonts w:ascii="Times New Roman" w:hAnsi="Times New Roman" w:cs="Times New Roman"/>
          <w:sz w:val="28"/>
        </w:rPr>
        <w:t xml:space="preserve">при выполнении </w:t>
      </w:r>
      <w:r>
        <w:rPr>
          <w:rFonts w:ascii="Times New Roman" w:hAnsi="Times New Roman" w:cs="Times New Roman"/>
          <w:sz w:val="28"/>
        </w:rPr>
        <w:t>четырёх бросков</w:t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бросками происходило не относящееся к ним движение, которое создавало выбросы, поэтому было принято решение разделить серию бросков на отдельные для защиты от выбросов (рис.3).</w:t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2686050" cy="1352953"/>
            <wp:effectExtent l="0" t="0" r="0" b="0"/>
            <wp:docPr id="3" name="Рисунок 3" descr="C:\Users\user\AppData\Local\Microsoft\Windows\INetCache\Content.MSO\8643BC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8643BC4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31" cy="135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626464" cy="1320165"/>
            <wp:effectExtent l="0" t="0" r="2540" b="0"/>
            <wp:docPr id="4" name="Рисунок 4" descr="C:\Users\user\AppData\Local\Microsoft\Windows\INetCache\Content.MSO\5C917B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MSO\5C917B9B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801" cy="1366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E54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– Диаграммы серии и отдельного броска (выбросы исчезли</w:t>
      </w:r>
      <w:r w:rsidR="0006067D">
        <w:rPr>
          <w:rFonts w:ascii="Times New Roman" w:hAnsi="Times New Roman" w:cs="Times New Roman"/>
          <w:sz w:val="28"/>
          <w:szCs w:val="28"/>
        </w:rPr>
        <w:t>, распределение стало более равномерным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получены описательные статистики серии бросков (табл. 1) </w:t>
      </w:r>
      <w:r w:rsidRPr="00F63375">
        <w:rPr>
          <w:rFonts w:ascii="Times New Roman" w:hAnsi="Times New Roman" w:cs="Times New Roman"/>
          <w:sz w:val="28"/>
          <w:szCs w:val="28"/>
        </w:rPr>
        <w:t>Как можно заметить, существуют отличия как между значениями статистик угла между туловищем левым и правым бедром в каждом из бросков серии, так и между сквозными значениями этих углов между отдельными бросками.</w:t>
      </w:r>
    </w:p>
    <w:p w:rsidR="00F63375" w:rsidRDefault="00F63375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3375">
        <w:rPr>
          <w:rFonts w:ascii="Times New Roman" w:hAnsi="Times New Roman" w:cs="Times New Roman"/>
          <w:sz w:val="28"/>
          <w:szCs w:val="28"/>
        </w:rPr>
        <w:t>Таблица1. Описательные статистики амплитуды движения нижних конечностей при выполнении Учи Мата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7"/>
        <w:gridCol w:w="1030"/>
        <w:gridCol w:w="950"/>
        <w:gridCol w:w="955"/>
        <w:gridCol w:w="982"/>
        <w:gridCol w:w="1053"/>
        <w:gridCol w:w="981"/>
        <w:gridCol w:w="851"/>
        <w:gridCol w:w="986"/>
      </w:tblGrid>
      <w:tr w:rsidR="00F63375" w:rsidRPr="00967974" w:rsidTr="003214AF">
        <w:trPr>
          <w:cantSplit/>
          <w:trHeight w:val="1134"/>
        </w:trPr>
        <w:tc>
          <w:tcPr>
            <w:tcW w:w="1557" w:type="dxa"/>
            <w:vMerge w:val="restart"/>
            <w:shd w:val="clear" w:color="auto" w:fill="auto"/>
            <w:noWrap/>
            <w:vAlign w:val="bottom"/>
          </w:tcPr>
          <w:p w:rsidR="00F63375" w:rsidRPr="008578F2" w:rsidRDefault="00F63375" w:rsidP="00321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80" w:type="dxa"/>
            <w:gridSpan w:val="2"/>
            <w:shd w:val="clear" w:color="auto" w:fill="auto"/>
            <w:noWrap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1937" w:type="dxa"/>
            <w:gridSpan w:val="2"/>
            <w:shd w:val="clear" w:color="auto" w:fill="auto"/>
            <w:noWrap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2034" w:type="dxa"/>
            <w:gridSpan w:val="2"/>
            <w:shd w:val="clear" w:color="auto" w:fill="auto"/>
            <w:noWrap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  <w:tc>
          <w:tcPr>
            <w:tcW w:w="1837" w:type="dxa"/>
            <w:gridSpan w:val="2"/>
            <w:vAlign w:val="center"/>
          </w:tcPr>
          <w:p w:rsidR="00F63375" w:rsidRPr="00967974" w:rsidRDefault="00F63375" w:rsidP="003214AF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-й бросок</w:t>
            </w:r>
          </w:p>
        </w:tc>
      </w:tr>
      <w:tr w:rsidR="00F63375" w:rsidRPr="00967974" w:rsidTr="003214AF">
        <w:trPr>
          <w:cantSplit/>
          <w:trHeight w:val="1134"/>
        </w:trPr>
        <w:tc>
          <w:tcPr>
            <w:tcW w:w="1557" w:type="dxa"/>
            <w:vMerge/>
            <w:shd w:val="clear" w:color="auto" w:fill="auto"/>
            <w:noWrap/>
            <w:vAlign w:val="bottom"/>
            <w:hideMark/>
          </w:tcPr>
          <w:p w:rsidR="00F63375" w:rsidRPr="008578F2" w:rsidRDefault="00F63375" w:rsidP="003214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8578F2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578F2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  <w:tc>
          <w:tcPr>
            <w:tcW w:w="851" w:type="dxa"/>
            <w:vAlign w:val="center"/>
          </w:tcPr>
          <w:p w:rsidR="00F63375" w:rsidRPr="00393B85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3B85">
              <w:rPr>
                <w:rFonts w:ascii="Times New Roman" w:eastAsia="Times New Roman" w:hAnsi="Times New Roman" w:cs="Times New Roman"/>
                <w:color w:val="000000"/>
              </w:rPr>
              <w:t>Левое бедро</w:t>
            </w:r>
          </w:p>
        </w:tc>
        <w:tc>
          <w:tcPr>
            <w:tcW w:w="986" w:type="dxa"/>
            <w:vAlign w:val="center"/>
          </w:tcPr>
          <w:p w:rsidR="00F63375" w:rsidRPr="00393B85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93B85">
              <w:rPr>
                <w:rFonts w:ascii="Times New Roman" w:eastAsia="Times New Roman" w:hAnsi="Times New Roman" w:cs="Times New Roman"/>
                <w:color w:val="000000"/>
              </w:rPr>
              <w:t>Правое бедро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Среднее значение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mean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85.81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58.24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82.18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60.72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76.70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56.69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89.47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58.45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Стандартное отклонение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std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40.39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23.43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41.35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31.38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40.13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23.89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45.60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25.20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Минимум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min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25%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48.25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37.75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50%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63.5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D8498B">
              <w:rPr>
                <w:rFonts w:ascii="Times New Roman" w:eastAsia="Times New Roman" w:hAnsi="Times New Roman" w:cs="Times New Roman"/>
                <w:color w:val="000000"/>
                <w:sz w:val="24"/>
              </w:rPr>
              <w:t>Процентил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ь </w:t>
            </w: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75%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116.75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106.25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76.5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140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</w:tr>
      <w:tr w:rsidR="00F63375" w:rsidRPr="00967974" w:rsidTr="003214AF">
        <w:trPr>
          <w:trHeight w:val="300"/>
        </w:trPr>
        <w:tc>
          <w:tcPr>
            <w:tcW w:w="1557" w:type="dxa"/>
            <w:shd w:val="clear" w:color="auto" w:fill="auto"/>
            <w:noWrap/>
            <w:vAlign w:val="bottom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>Максимум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,</w:t>
            </w:r>
            <w:r w:rsidRPr="003F421D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</w:rPr>
              <w:t>max</w:t>
            </w:r>
            <w:proofErr w:type="spellEnd"/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145</w:t>
            </w:r>
          </w:p>
        </w:tc>
        <w:tc>
          <w:tcPr>
            <w:tcW w:w="982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137</w:t>
            </w:r>
          </w:p>
        </w:tc>
        <w:tc>
          <w:tcPr>
            <w:tcW w:w="1053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  <w:tc>
          <w:tcPr>
            <w:tcW w:w="981" w:type="dxa"/>
            <w:shd w:val="clear" w:color="auto" w:fill="auto"/>
            <w:noWrap/>
            <w:vAlign w:val="center"/>
            <w:hideMark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851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156</w:t>
            </w:r>
          </w:p>
        </w:tc>
        <w:tc>
          <w:tcPr>
            <w:tcW w:w="986" w:type="dxa"/>
            <w:vAlign w:val="center"/>
          </w:tcPr>
          <w:p w:rsidR="00F63375" w:rsidRPr="00DD3BCA" w:rsidRDefault="00F63375" w:rsidP="0032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D3B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</w:tbl>
    <w:p w:rsid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изучения значимости этих различий нами был применён </w:t>
      </w:r>
      <w:r w:rsidRPr="00AB2359">
        <w:rPr>
          <w:rFonts w:ascii="Times New Roman" w:hAnsi="Times New Roman" w:cs="Times New Roman"/>
          <w:sz w:val="28"/>
        </w:rPr>
        <w:t>H-критерий</w:t>
      </w:r>
      <w:r w:rsidRPr="00DB104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B104B">
        <w:rPr>
          <w:rFonts w:ascii="Times New Roman" w:hAnsi="Times New Roman" w:cs="Times New Roman"/>
          <w:sz w:val="28"/>
        </w:rPr>
        <w:t>Краскела</w:t>
      </w:r>
      <w:proofErr w:type="spellEnd"/>
      <w:r w:rsidRPr="00DB104B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DB104B">
        <w:rPr>
          <w:rFonts w:ascii="Times New Roman" w:hAnsi="Times New Roman" w:cs="Times New Roman"/>
          <w:sz w:val="28"/>
        </w:rPr>
        <w:t>Уоллиса</w:t>
      </w:r>
      <w:proofErr w:type="spellEnd"/>
      <w:r>
        <w:rPr>
          <w:rFonts w:ascii="Times New Roman" w:hAnsi="Times New Roman" w:cs="Times New Roman"/>
          <w:sz w:val="28"/>
        </w:rPr>
        <w:t>, который</w:t>
      </w:r>
      <w:r w:rsidRPr="00DB10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относится к дисперсионному анализу и показывает нам</w:t>
      </w:r>
      <w:r w:rsidRPr="00DB104B">
        <w:rPr>
          <w:rFonts w:ascii="Times New Roman" w:hAnsi="Times New Roman" w:cs="Times New Roman"/>
          <w:sz w:val="28"/>
        </w:rPr>
        <w:t xml:space="preserve"> равенств</w:t>
      </w:r>
      <w:r>
        <w:rPr>
          <w:rFonts w:ascii="Times New Roman" w:hAnsi="Times New Roman" w:cs="Times New Roman"/>
          <w:sz w:val="28"/>
        </w:rPr>
        <w:t>о</w:t>
      </w:r>
      <w:r w:rsidRPr="00DB104B">
        <w:rPr>
          <w:rFonts w:ascii="Times New Roman" w:hAnsi="Times New Roman" w:cs="Times New Roman"/>
          <w:sz w:val="28"/>
        </w:rPr>
        <w:t xml:space="preserve"> медиан </w:t>
      </w:r>
      <w:r>
        <w:rPr>
          <w:rFonts w:ascii="Times New Roman" w:hAnsi="Times New Roman" w:cs="Times New Roman"/>
          <w:sz w:val="28"/>
        </w:rPr>
        <w:t xml:space="preserve">в </w:t>
      </w:r>
      <w:r w:rsidRPr="00DB104B">
        <w:rPr>
          <w:rFonts w:ascii="Times New Roman" w:hAnsi="Times New Roman" w:cs="Times New Roman"/>
          <w:sz w:val="28"/>
        </w:rPr>
        <w:t>нескольких выборка</w:t>
      </w:r>
      <w:r>
        <w:rPr>
          <w:rFonts w:ascii="Times New Roman" w:hAnsi="Times New Roman" w:cs="Times New Roman"/>
          <w:sz w:val="28"/>
        </w:rPr>
        <w:t>х, что достаточно хорошо подходит к анализу наших данных (таблица 2)</w:t>
      </w:r>
      <w:r w:rsidRPr="00DB104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F63375" w:rsidRDefault="00F63375" w:rsidP="00F6337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Корреляция и статистическая оценка достоверности различий амплитуды движений бедра при выполнении Учи Мата.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56"/>
        <w:gridCol w:w="1626"/>
        <w:gridCol w:w="1701"/>
        <w:gridCol w:w="2262"/>
      </w:tblGrid>
      <w:tr w:rsidR="00F63375" w:rsidRPr="00D80676" w:rsidTr="003214AF">
        <w:tc>
          <w:tcPr>
            <w:tcW w:w="3756" w:type="dxa"/>
          </w:tcPr>
          <w:p w:rsidR="00F63375" w:rsidRPr="00D80676" w:rsidRDefault="00F63375" w:rsidP="00F6337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Измерение выполнения серии 4-х приёмов</w:t>
            </w:r>
          </w:p>
        </w:tc>
        <w:tc>
          <w:tcPr>
            <w:tcW w:w="162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Угол между левым бедром и туловищем</w:t>
            </w:r>
          </w:p>
        </w:tc>
        <w:tc>
          <w:tcPr>
            <w:tcW w:w="1701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 xml:space="preserve">Угол между </w:t>
            </w:r>
            <w:r>
              <w:rPr>
                <w:rFonts w:ascii="Times New Roman" w:hAnsi="Times New Roman" w:cs="Times New Roman"/>
                <w:sz w:val="24"/>
              </w:rPr>
              <w:t>правым</w:t>
            </w:r>
            <w:r w:rsidRPr="00D67DD0">
              <w:rPr>
                <w:rFonts w:ascii="Times New Roman" w:hAnsi="Times New Roman" w:cs="Times New Roman"/>
                <w:sz w:val="24"/>
              </w:rPr>
              <w:t xml:space="preserve"> бедром и туловищем</w:t>
            </w:r>
          </w:p>
        </w:tc>
        <w:tc>
          <w:tcPr>
            <w:tcW w:w="2262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Сравнение амплитуд движений ногой и туловищем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Коэффициент корреляции (Пирсон)</w:t>
            </w:r>
          </w:p>
        </w:tc>
        <w:tc>
          <w:tcPr>
            <w:tcW w:w="1626" w:type="dxa"/>
          </w:tcPr>
          <w:p w:rsidR="00F63375" w:rsidRPr="00D67DD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01" w:type="dxa"/>
          </w:tcPr>
          <w:p w:rsidR="00F63375" w:rsidRPr="00D67DD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262" w:type="dxa"/>
          </w:tcPr>
          <w:p w:rsidR="00F63375" w:rsidRPr="009B3EC0" w:rsidRDefault="00F63375" w:rsidP="003214A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E23B5A"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32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80676">
              <w:rPr>
                <w:rFonts w:ascii="Times New Roman" w:hAnsi="Times New Roman" w:cs="Times New Roman"/>
                <w:sz w:val="24"/>
              </w:rPr>
              <w:t xml:space="preserve">H-критерий </w:t>
            </w:r>
            <w:proofErr w:type="spellStart"/>
            <w:r w:rsidRPr="00D80676">
              <w:rPr>
                <w:rFonts w:ascii="Times New Roman" w:hAnsi="Times New Roman" w:cs="Times New Roman"/>
                <w:sz w:val="24"/>
              </w:rPr>
              <w:t>Краскела</w:t>
            </w:r>
            <w:proofErr w:type="spellEnd"/>
            <w:r w:rsidRPr="00D80676">
              <w:rPr>
                <w:rFonts w:ascii="Times New Roman" w:hAnsi="Times New Roman" w:cs="Times New Roman"/>
                <w:sz w:val="24"/>
              </w:rPr>
              <w:t xml:space="preserve"> — </w:t>
            </w:r>
            <w:proofErr w:type="spellStart"/>
            <w:r w:rsidRPr="00D80676">
              <w:rPr>
                <w:rFonts w:ascii="Times New Roman" w:hAnsi="Times New Roman" w:cs="Times New Roman"/>
                <w:sz w:val="24"/>
              </w:rPr>
              <w:t>Уоллиса</w:t>
            </w:r>
            <w:proofErr w:type="spellEnd"/>
          </w:p>
        </w:tc>
        <w:tc>
          <w:tcPr>
            <w:tcW w:w="162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>3.482</w:t>
            </w:r>
          </w:p>
        </w:tc>
        <w:tc>
          <w:tcPr>
            <w:tcW w:w="1701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 xml:space="preserve">0.856, </w:t>
            </w:r>
          </w:p>
        </w:tc>
        <w:tc>
          <w:tcPr>
            <w:tcW w:w="2262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67DD0">
              <w:rPr>
                <w:rFonts w:ascii="Times New Roman" w:hAnsi="Times New Roman" w:cs="Times New Roman"/>
                <w:sz w:val="24"/>
              </w:rPr>
              <w:t>71.483</w:t>
            </w:r>
          </w:p>
        </w:tc>
      </w:tr>
      <w:tr w:rsidR="00F63375" w:rsidRPr="00D80676" w:rsidTr="003214AF">
        <w:tc>
          <w:tcPr>
            <w:tcW w:w="3756" w:type="dxa"/>
          </w:tcPr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Достоверность различий</w:t>
            </w:r>
          </w:p>
        </w:tc>
        <w:tc>
          <w:tcPr>
            <w:tcW w:w="1626" w:type="dxa"/>
          </w:tcPr>
          <w:p w:rsidR="00F63375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p=0.175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701" w:type="dxa"/>
          </w:tcPr>
          <w:p w:rsidR="00F63375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  <w:r w:rsidRPr="00D67DD0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p=0.652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262" w:type="dxa"/>
          </w:tcPr>
          <w:p w:rsidR="00F63375" w:rsidRPr="00F4240E" w:rsidRDefault="00F63375" w:rsidP="003214A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4240E">
              <w:rPr>
                <w:rFonts w:ascii="Times New Roman" w:hAnsi="Times New Roman" w:cs="Times New Roman"/>
                <w:b/>
                <w:sz w:val="24"/>
              </w:rPr>
              <w:t>р≤0,001</w:t>
            </w:r>
          </w:p>
          <w:p w:rsidR="00F63375" w:rsidRPr="00D80676" w:rsidRDefault="00F63375" w:rsidP="003214A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</w:t>
            </w:r>
            <w:r w:rsidRPr="00D67DD0">
              <w:rPr>
                <w:rFonts w:ascii="Times New Roman" w:hAnsi="Times New Roman" w:cs="Times New Roman"/>
                <w:sz w:val="24"/>
              </w:rPr>
              <w:t>p=0.000</w:t>
            </w:r>
            <w:r>
              <w:rPr>
                <w:rFonts w:ascii="Times New Roman" w:hAnsi="Times New Roman" w:cs="Times New Roman"/>
                <w:sz w:val="24"/>
              </w:rPr>
              <w:t>1)</w:t>
            </w:r>
          </w:p>
        </w:tc>
      </w:tr>
    </w:tbl>
    <w:p w:rsidR="00F63375" w:rsidRDefault="00C67E54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корреляции и высокая объяснительная</w:t>
      </w:r>
      <w:r w:rsidR="002A15FA">
        <w:rPr>
          <w:rFonts w:ascii="Times New Roman" w:hAnsi="Times New Roman" w:cs="Times New Roman"/>
          <w:sz w:val="28"/>
          <w:szCs w:val="28"/>
        </w:rPr>
        <w:t xml:space="preserve"> способность регрессионных моделей были основой для применения их в исследовании (рис.4). </w:t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583223" cy="1846580"/>
            <wp:effectExtent l="0" t="0" r="7620" b="1270"/>
            <wp:docPr id="6" name="Рисунок 6" descr="C:\Users\user\AppData\Local\Microsoft\Windows\INetCache\Content.MSO\DB05C1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MSO\DB05C1E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015" cy="19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zh-CN"/>
        </w:rPr>
        <w:drawing>
          <wp:inline distT="0" distB="0" distL="0" distR="0">
            <wp:extent cx="2689962" cy="1808857"/>
            <wp:effectExtent l="0" t="0" r="0" b="1270"/>
            <wp:docPr id="9" name="Рисунок 9" descr="C:\Users\user\AppData\Local\Microsoft\Windows\INetCache\Content.MSO\76A7F4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MSO\76A7F4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322" cy="183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5FA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Линии линейной</w:t>
      </w:r>
      <w:r w:rsidR="009B10E1">
        <w:rPr>
          <w:rFonts w:ascii="Times New Roman" w:hAnsi="Times New Roman" w:cs="Times New Roman"/>
          <w:sz w:val="28"/>
          <w:szCs w:val="28"/>
        </w:rPr>
        <w:t xml:space="preserve"> (а)</w:t>
      </w:r>
      <w:r>
        <w:rPr>
          <w:rFonts w:ascii="Times New Roman" w:hAnsi="Times New Roman" w:cs="Times New Roman"/>
          <w:sz w:val="28"/>
          <w:szCs w:val="28"/>
        </w:rPr>
        <w:t xml:space="preserve"> и полиномиальной</w:t>
      </w:r>
      <w:r w:rsidR="009B10E1">
        <w:rPr>
          <w:rFonts w:ascii="Times New Roman" w:hAnsi="Times New Roman" w:cs="Times New Roman"/>
          <w:sz w:val="28"/>
          <w:szCs w:val="28"/>
        </w:rPr>
        <w:t xml:space="preserve"> (в)</w:t>
      </w:r>
      <w:r>
        <w:rPr>
          <w:rFonts w:ascii="Times New Roman" w:hAnsi="Times New Roman" w:cs="Times New Roman"/>
          <w:sz w:val="28"/>
          <w:szCs w:val="28"/>
        </w:rPr>
        <w:t xml:space="preserve"> регрессии</w:t>
      </w:r>
      <w:r w:rsidR="009B1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A15FA" w:rsidRPr="00983526" w:rsidRDefault="002A15FA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Линейная регрессия даже визуально не соответствует характеру распределения наших данных, поэтому было принято решение использовать полином второй степени, так как при повышении степени полинома значительно снижается объяснительная способность модели, а выигрыш в нашем случае составляет только сотые доли </w:t>
      </w:r>
      <w:r w:rsidRPr="002A15FA">
        <w:rPr>
          <w:rFonts w:ascii="Times New Roman" w:hAnsi="Times New Roman" w:cs="Times New Roman"/>
          <w:sz w:val="28"/>
          <w:szCs w:val="28"/>
        </w:rPr>
        <w:t>R</w:t>
      </w:r>
      <w:r w:rsidRPr="002A15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017A54">
        <w:rPr>
          <w:rFonts w:ascii="Times New Roman" w:hAnsi="Times New Roman" w:cs="Times New Roman"/>
          <w:sz w:val="28"/>
          <w:szCs w:val="28"/>
        </w:rPr>
        <w:t xml:space="preserve"> </w:t>
      </w:r>
      <w:r w:rsidR="009B10E1">
        <w:rPr>
          <w:rFonts w:ascii="Times New Roman" w:hAnsi="Times New Roman" w:cs="Times New Roman"/>
          <w:sz w:val="28"/>
          <w:szCs w:val="28"/>
        </w:rPr>
        <w:t xml:space="preserve">Однако было принято решения попытаться улучшить целевые метрики </w:t>
      </w:r>
      <w:r w:rsidR="009B10E1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9B10E1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9B10E1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9B10E1">
        <w:rPr>
          <w:rFonts w:ascii="Times New Roman" w:hAnsi="Times New Roman" w:cs="Times New Roman"/>
          <w:sz w:val="28"/>
          <w:szCs w:val="28"/>
        </w:rPr>
        <w:t xml:space="preserve"> 0,73</w:t>
      </w:r>
      <w:r w:rsidR="009B10E1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9B10E1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9B10E1">
        <w:rPr>
          <w:rFonts w:ascii="Times New Roman" w:hAnsi="Times New Roman" w:cs="Times New Roman"/>
          <w:sz w:val="28"/>
          <w:szCs w:val="28"/>
        </w:rPr>
        <w:t>= 12,22 и первый шаг был в отсечении из набора точек тех, которые отражали возврат в стойку после выполнения активной фазы броска. Была принята гипотеза, что возвратное движение несмотря на соответствие траектории активной части</w:t>
      </w:r>
      <w:r w:rsidR="00FF336C">
        <w:rPr>
          <w:rFonts w:ascii="Times New Roman" w:hAnsi="Times New Roman" w:cs="Times New Roman"/>
          <w:sz w:val="28"/>
          <w:szCs w:val="28"/>
        </w:rPr>
        <w:t xml:space="preserve"> всё же вносит «шум»</w:t>
      </w:r>
      <w:r w:rsidR="009B10E1">
        <w:rPr>
          <w:rFonts w:ascii="Times New Roman" w:hAnsi="Times New Roman" w:cs="Times New Roman"/>
          <w:sz w:val="28"/>
          <w:szCs w:val="28"/>
        </w:rPr>
        <w:t>. П</w:t>
      </w:r>
      <w:r w:rsidR="00FF336C">
        <w:rPr>
          <w:rFonts w:ascii="Times New Roman" w:hAnsi="Times New Roman" w:cs="Times New Roman"/>
          <w:sz w:val="28"/>
          <w:szCs w:val="28"/>
        </w:rPr>
        <w:t>оэтому для рассмотрения была принята только часть траектории, выполняющая полезную работу, а возвращение в исходное положение было отсечено. П</w:t>
      </w:r>
      <w:r w:rsidR="009B10E1">
        <w:rPr>
          <w:rFonts w:ascii="Times New Roman" w:hAnsi="Times New Roman" w:cs="Times New Roman"/>
          <w:sz w:val="28"/>
          <w:szCs w:val="28"/>
        </w:rPr>
        <w:t xml:space="preserve">ри этом основная метрика ухудшилась </w:t>
      </w:r>
      <w:r w:rsidR="009B10E1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9B10E1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9B10E1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9B10E1">
        <w:rPr>
          <w:rFonts w:ascii="Times New Roman" w:hAnsi="Times New Roman" w:cs="Times New Roman"/>
          <w:sz w:val="28"/>
          <w:szCs w:val="28"/>
        </w:rPr>
        <w:t xml:space="preserve"> 0,69</w:t>
      </w:r>
      <w:r w:rsidR="009B10E1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9B10E1">
        <w:rPr>
          <w:rFonts w:ascii="Times New Roman" w:hAnsi="Times New Roman" w:cs="Times New Roman"/>
          <w:sz w:val="28"/>
          <w:szCs w:val="28"/>
        </w:rPr>
        <w:t xml:space="preserve">но среднеквадратичная ошибка наоборот немного улучшилась </w:t>
      </w:r>
      <w:r w:rsidR="009B10E1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9B10E1">
        <w:rPr>
          <w:rFonts w:ascii="Times New Roman" w:hAnsi="Times New Roman" w:cs="Times New Roman"/>
          <w:sz w:val="28"/>
          <w:szCs w:val="28"/>
        </w:rPr>
        <w:t>= 12,01. При просмотре графика было сделано наблюдение, что происходит достаточно резкое колебание</w:t>
      </w:r>
      <w:r w:rsidR="00FF336C">
        <w:rPr>
          <w:rFonts w:ascii="Times New Roman" w:hAnsi="Times New Roman" w:cs="Times New Roman"/>
          <w:sz w:val="28"/>
          <w:szCs w:val="28"/>
        </w:rPr>
        <w:t xml:space="preserve"> значений</w:t>
      </w:r>
      <w:bookmarkStart w:id="0" w:name="_GoBack"/>
      <w:bookmarkEnd w:id="0"/>
      <w:r w:rsidR="009B10E1">
        <w:rPr>
          <w:rFonts w:ascii="Times New Roman" w:hAnsi="Times New Roman" w:cs="Times New Roman"/>
          <w:sz w:val="28"/>
          <w:szCs w:val="28"/>
        </w:rPr>
        <w:t>, которое может быть вызвано как ошибками измерения, так и просто пропущенными (бракованными) фреймами в видеозаписи</w:t>
      </w:r>
      <w:r w:rsidR="00983526">
        <w:rPr>
          <w:rFonts w:ascii="Times New Roman" w:hAnsi="Times New Roman" w:cs="Times New Roman"/>
          <w:sz w:val="28"/>
          <w:szCs w:val="28"/>
        </w:rPr>
        <w:t>. Поэтому было принято решение об использовании экспоненциального сглаживания, которое применяется как для улучшения данных временных рядов, так и при обработке сигнала (рис.5).</w:t>
      </w:r>
    </w:p>
    <w:p w:rsidR="00AF0F8E" w:rsidRDefault="00AF0F8E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F0F8E" w:rsidRDefault="00AF0F8E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lastRenderedPageBreak/>
        <w:drawing>
          <wp:inline distT="0" distB="0" distL="0" distR="0" wp14:anchorId="1420FFD9">
            <wp:extent cx="2543175" cy="16818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82" cy="1688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5DC920C">
            <wp:extent cx="2533919" cy="16757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28" cy="16968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4BF0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Активная часть первого броска до (а) и после (в) сглаживания</w:t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зависимость ещё более похожая на квадратичную</w:t>
      </w:r>
      <w:r w:rsidR="00200015">
        <w:rPr>
          <w:rFonts w:ascii="Times New Roman" w:hAnsi="Times New Roman" w:cs="Times New Roman"/>
          <w:sz w:val="28"/>
          <w:szCs w:val="28"/>
        </w:rPr>
        <w:t xml:space="preserve"> и сохраняющая тенденции исходной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</w:p>
    <w:p w:rsidR="00984BF0" w:rsidRDefault="00984BF0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DD536AE">
            <wp:extent cx="3076575" cy="211011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49" cy="2114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–Полиномиальная регрессия после сглаживания</w:t>
      </w:r>
    </w:p>
    <w:p w:rsidR="00983526" w:rsidRDefault="00983526" w:rsidP="008476C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Целевые метрики </w:t>
      </w:r>
      <w:r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Pr="001204A7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0,91</w:t>
      </w:r>
      <w:r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>
        <w:rPr>
          <w:rFonts w:ascii="Times New Roman" w:hAnsi="Times New Roman" w:cs="Times New Roman"/>
          <w:sz w:val="28"/>
          <w:szCs w:val="28"/>
        </w:rPr>
        <w:t xml:space="preserve">= 5,68 оказались </w:t>
      </w:r>
      <w:r w:rsidR="00200015">
        <w:rPr>
          <w:rFonts w:ascii="Times New Roman" w:hAnsi="Times New Roman" w:cs="Times New Roman"/>
          <w:sz w:val="28"/>
          <w:szCs w:val="28"/>
        </w:rPr>
        <w:t xml:space="preserve">лучшими среди </w:t>
      </w:r>
      <w:r w:rsidR="005E34F4">
        <w:rPr>
          <w:rFonts w:ascii="Times New Roman" w:hAnsi="Times New Roman" w:cs="Times New Roman"/>
          <w:sz w:val="28"/>
          <w:szCs w:val="28"/>
        </w:rPr>
        <w:t>всех предыдущих при сохранении тенденций,</w:t>
      </w:r>
      <w:r w:rsidR="00200015">
        <w:rPr>
          <w:rFonts w:ascii="Times New Roman" w:hAnsi="Times New Roman" w:cs="Times New Roman"/>
          <w:sz w:val="28"/>
          <w:szCs w:val="28"/>
        </w:rPr>
        <w:t xml:space="preserve"> </w:t>
      </w:r>
      <w:r w:rsidR="005E34F4">
        <w:rPr>
          <w:rFonts w:ascii="Times New Roman" w:hAnsi="Times New Roman" w:cs="Times New Roman"/>
          <w:sz w:val="28"/>
          <w:szCs w:val="28"/>
        </w:rPr>
        <w:t xml:space="preserve">имеющихся в </w:t>
      </w:r>
      <w:r w:rsidR="00200015">
        <w:rPr>
          <w:rFonts w:ascii="Times New Roman" w:hAnsi="Times New Roman" w:cs="Times New Roman"/>
          <w:sz w:val="28"/>
          <w:szCs w:val="28"/>
        </w:rPr>
        <w:t>сырых данных.</w:t>
      </w:r>
    </w:p>
    <w:p w:rsidR="0006067D" w:rsidRPr="0006067D" w:rsidRDefault="0006067D" w:rsidP="000606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67D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:rsidR="0006067D" w:rsidRDefault="0006067D" w:rsidP="00120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была получена модель</w:t>
      </w:r>
      <w:r w:rsidR="001204A7">
        <w:rPr>
          <w:rFonts w:ascii="Times New Roman" w:hAnsi="Times New Roman" w:cs="Times New Roman"/>
          <w:sz w:val="28"/>
          <w:szCs w:val="28"/>
        </w:rPr>
        <w:t>,</w:t>
      </w:r>
      <w:r w:rsidRPr="001204A7">
        <w:rPr>
          <w:rFonts w:ascii="Times New Roman" w:hAnsi="Times New Roman" w:cs="Times New Roman"/>
          <w:sz w:val="28"/>
          <w:szCs w:val="28"/>
        </w:rPr>
        <w:t xml:space="preserve"> которая показала искомое </w:t>
      </w:r>
      <w:r w:rsidR="001204A7" w:rsidRPr="001204A7">
        <w:rPr>
          <w:rFonts w:ascii="Times New Roman" w:hAnsi="Times New Roman" w:cs="Times New Roman"/>
          <w:sz w:val="28"/>
          <w:szCs w:val="28"/>
        </w:rPr>
        <w:t xml:space="preserve">соотношение амплитуды наклона туловища от маха атакующей ноги.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оценки продуктивности модели были получены следующие целевые метрики </w:t>
      </w:r>
      <w:r w:rsidR="005E34F4" w:rsidRPr="001204A7">
        <w:rPr>
          <w:rFonts w:ascii="Times New Roman" w:hAnsi="Times New Roman" w:cs="Times New Roman"/>
          <w:b/>
          <w:sz w:val="28"/>
          <w:szCs w:val="28"/>
        </w:rPr>
        <w:t>R</w:t>
      </w:r>
      <w:r w:rsidR="005E34F4" w:rsidRPr="001204A7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5E34F4" w:rsidRPr="001204A7">
        <w:rPr>
          <w:rFonts w:ascii="Times New Roman" w:hAnsi="Times New Roman" w:cs="Times New Roman"/>
          <w:sz w:val="28"/>
          <w:szCs w:val="28"/>
        </w:rPr>
        <w:t xml:space="preserve"> =</w:t>
      </w:r>
      <w:r w:rsidR="005E34F4">
        <w:rPr>
          <w:rFonts w:ascii="Times New Roman" w:hAnsi="Times New Roman" w:cs="Times New Roman"/>
          <w:sz w:val="28"/>
          <w:szCs w:val="28"/>
        </w:rPr>
        <w:t xml:space="preserve"> 0,91</w:t>
      </w:r>
      <w:r w:rsidR="005E34F4" w:rsidRPr="0006067D">
        <w:rPr>
          <w:rFonts w:ascii="Times New Roman" w:hAnsi="Times New Roman" w:cs="Times New Roman"/>
          <w:sz w:val="28"/>
          <w:szCs w:val="28"/>
        </w:rPr>
        <w:t xml:space="preserve">, </w:t>
      </w:r>
      <w:r w:rsidR="005E34F4" w:rsidRPr="00B913AD">
        <w:rPr>
          <w:rFonts w:ascii="Times New Roman" w:hAnsi="Times New Roman" w:cs="Times New Roman"/>
          <w:b/>
          <w:sz w:val="28"/>
          <w:szCs w:val="28"/>
        </w:rPr>
        <w:t xml:space="preserve">RMSE </w:t>
      </w:r>
      <w:r w:rsidR="005E34F4">
        <w:rPr>
          <w:rFonts w:ascii="Times New Roman" w:hAnsi="Times New Roman" w:cs="Times New Roman"/>
          <w:sz w:val="28"/>
          <w:szCs w:val="28"/>
        </w:rPr>
        <w:t>= 5,68</w:t>
      </w:r>
      <w:r>
        <w:rPr>
          <w:rFonts w:ascii="Times New Roman" w:hAnsi="Times New Roman" w:cs="Times New Roman"/>
          <w:sz w:val="28"/>
          <w:szCs w:val="28"/>
        </w:rPr>
        <w:t>, что является достаточным для целей спортивной подготовки.</w:t>
      </w:r>
      <w:r w:rsidR="001204A7">
        <w:rPr>
          <w:rFonts w:ascii="Times New Roman" w:hAnsi="Times New Roman" w:cs="Times New Roman"/>
          <w:sz w:val="28"/>
          <w:szCs w:val="28"/>
        </w:rPr>
        <w:t xml:space="preserve"> Квадратичная зависимость является показателем того, что согласно вычисленной производной скорость движения атакующей ноги примерно в два раза превышает наклон туловища</w:t>
      </w:r>
      <w:r w:rsidR="005E34F4">
        <w:rPr>
          <w:rFonts w:ascii="Times New Roman" w:hAnsi="Times New Roman" w:cs="Times New Roman"/>
          <w:sz w:val="28"/>
          <w:szCs w:val="28"/>
        </w:rPr>
        <w:t xml:space="preserve"> в начале движения</w:t>
      </w:r>
      <w:r w:rsidR="001204A7">
        <w:rPr>
          <w:rFonts w:ascii="Times New Roman" w:hAnsi="Times New Roman" w:cs="Times New Roman"/>
          <w:sz w:val="28"/>
          <w:szCs w:val="28"/>
        </w:rPr>
        <w:t>, в тоже время амплитуда движения туловища больше. Это позволяет применять полученные результаты к тренировке спортсменов, не проводя дополнительных измерений их индивидуальных характеристик за исключением значительно отличающихся от нормальной длины ног или длины туловища.</w:t>
      </w:r>
    </w:p>
    <w:p w:rsidR="001204A7" w:rsidRPr="001204A7" w:rsidRDefault="001204A7" w:rsidP="001204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результатам работы был получен патент на программу оценки углов, </w:t>
      </w:r>
      <w:r w:rsidR="00B913AD">
        <w:rPr>
          <w:rFonts w:ascii="Times New Roman" w:hAnsi="Times New Roman" w:cs="Times New Roman"/>
          <w:sz w:val="28"/>
          <w:szCs w:val="28"/>
        </w:rPr>
        <w:t xml:space="preserve">опубликована статья и результаты внедрены в работу </w:t>
      </w:r>
      <w:r w:rsidR="00B913AD" w:rsidRPr="00B913AD">
        <w:rPr>
          <w:rFonts w:ascii="Times New Roman" w:hAnsi="Times New Roman" w:cs="Times New Roman"/>
          <w:sz w:val="28"/>
          <w:szCs w:val="28"/>
        </w:rPr>
        <w:t>Российск</w:t>
      </w:r>
      <w:r w:rsidR="00B913AD">
        <w:rPr>
          <w:rFonts w:ascii="Times New Roman" w:hAnsi="Times New Roman" w:cs="Times New Roman"/>
          <w:sz w:val="28"/>
          <w:szCs w:val="28"/>
        </w:rPr>
        <w:t>ого</w:t>
      </w:r>
      <w:r w:rsidR="00B913AD" w:rsidRPr="00B913AD">
        <w:rPr>
          <w:rFonts w:ascii="Times New Roman" w:hAnsi="Times New Roman" w:cs="Times New Roman"/>
          <w:sz w:val="28"/>
          <w:szCs w:val="28"/>
        </w:rPr>
        <w:t xml:space="preserve"> университет</w:t>
      </w:r>
      <w:r w:rsidR="00B913AD">
        <w:rPr>
          <w:rFonts w:ascii="Times New Roman" w:hAnsi="Times New Roman" w:cs="Times New Roman"/>
          <w:sz w:val="28"/>
          <w:szCs w:val="28"/>
        </w:rPr>
        <w:t>а</w:t>
      </w:r>
      <w:r w:rsidR="00B913AD" w:rsidRPr="00B913AD">
        <w:rPr>
          <w:rFonts w:ascii="Times New Roman" w:hAnsi="Times New Roman" w:cs="Times New Roman"/>
          <w:sz w:val="28"/>
          <w:szCs w:val="28"/>
        </w:rPr>
        <w:t xml:space="preserve"> спорта</w:t>
      </w:r>
      <w:r w:rsidR="00B913AD">
        <w:rPr>
          <w:rFonts w:ascii="Times New Roman" w:hAnsi="Times New Roman" w:cs="Times New Roman"/>
          <w:sz w:val="28"/>
          <w:szCs w:val="28"/>
        </w:rPr>
        <w:t>.</w:t>
      </w:r>
    </w:p>
    <w:p w:rsidR="0006067D" w:rsidRPr="0006067D" w:rsidRDefault="0006067D" w:rsidP="000606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067D">
        <w:rPr>
          <w:rFonts w:ascii="Times New Roman" w:hAnsi="Times New Roman" w:cs="Times New Roman"/>
          <w:b/>
          <w:sz w:val="28"/>
          <w:szCs w:val="28"/>
        </w:rPr>
        <w:t>Выводы и заключение</w:t>
      </w:r>
    </w:p>
    <w:p w:rsidR="0006067D" w:rsidRPr="00991EA0" w:rsidRDefault="00B913AD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 xml:space="preserve">Наклон туловища и мах атакующей ноги вносят различный и несравнимый вклад в успешное выполнение броска Учи-мата в дзюдо и однозначно отнести его к броскам выполняемым в основном ногами и туловищем </w:t>
      </w:r>
      <w:r w:rsidR="00991EA0" w:rsidRPr="00991EA0">
        <w:rPr>
          <w:rFonts w:ascii="Times New Roman" w:hAnsi="Times New Roman" w:cs="Times New Roman"/>
          <w:sz w:val="28"/>
          <w:szCs w:val="28"/>
        </w:rPr>
        <w:t>возможно только при определении приоритета в оценке быстроты или амплитуды, силы.</w:t>
      </w:r>
    </w:p>
    <w:p w:rsidR="00B913AD" w:rsidRPr="00991EA0" w:rsidRDefault="00991EA0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>С</w:t>
      </w:r>
      <w:r w:rsidR="00B913AD" w:rsidRPr="00991EA0">
        <w:rPr>
          <w:rFonts w:ascii="Times New Roman" w:hAnsi="Times New Roman" w:cs="Times New Roman"/>
          <w:sz w:val="28"/>
          <w:szCs w:val="28"/>
        </w:rPr>
        <w:t>оотношение</w:t>
      </w:r>
      <w:r w:rsidRPr="00991EA0">
        <w:rPr>
          <w:rFonts w:ascii="Times New Roman" w:hAnsi="Times New Roman" w:cs="Times New Roman"/>
          <w:sz w:val="28"/>
          <w:szCs w:val="28"/>
        </w:rPr>
        <w:t xml:space="preserve"> амплитуд наклона и маха ногой при выполнении Учи-мата</w:t>
      </w:r>
      <w:r w:rsidR="00B913AD" w:rsidRPr="00991EA0">
        <w:rPr>
          <w:rFonts w:ascii="Times New Roman" w:hAnsi="Times New Roman" w:cs="Times New Roman"/>
          <w:sz w:val="28"/>
          <w:szCs w:val="28"/>
        </w:rPr>
        <w:t xml:space="preserve"> может быть описано полиномом второй степени</w:t>
      </w:r>
    </w:p>
    <w:p w:rsidR="00B913AD" w:rsidRPr="00991EA0" w:rsidRDefault="00B913AD" w:rsidP="00991EA0">
      <w:pPr>
        <w:pStyle w:val="a3"/>
        <w:numPr>
          <w:ilvl w:val="0"/>
          <w:numId w:val="2"/>
        </w:num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91EA0">
        <w:rPr>
          <w:rFonts w:ascii="Times New Roman" w:hAnsi="Times New Roman" w:cs="Times New Roman"/>
          <w:sz w:val="28"/>
          <w:szCs w:val="28"/>
        </w:rPr>
        <w:t>При подборе упражнений необходимо соблюдать направленность тренировки мышц туловища на достижение силы и гибкости, а мышц ног на достижение быстроты причём нога должна двигаться в два раза быстрее туловища.</w:t>
      </w:r>
    </w:p>
    <w:p w:rsidR="00991EA0" w:rsidRPr="0006067D" w:rsidRDefault="00991EA0" w:rsidP="000606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Дальнейшее улучшение может заключаться в добавлении оценки поворота плеч относительно таза, так называемый </w:t>
      </w:r>
      <w:r w:rsidRPr="00991EA0">
        <w:rPr>
          <w:rFonts w:ascii="Times New Roman" w:hAnsi="Times New Roman" w:cs="Times New Roman"/>
          <w:sz w:val="28"/>
          <w:szCs w:val="28"/>
        </w:rPr>
        <w:t>X-</w:t>
      </w:r>
      <w:proofErr w:type="spellStart"/>
      <w:r w:rsidRPr="00991EA0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>
        <w:rPr>
          <w:rFonts w:ascii="Times New Roman" w:hAnsi="Times New Roman" w:cs="Times New Roman"/>
          <w:sz w:val="28"/>
          <w:szCs w:val="28"/>
        </w:rPr>
        <w:t>. Это вращательное движение может иметь значительный вклад в эффективность броска, но на текущий момент времени оно исследуется в других видах спорта</w:t>
      </w:r>
      <w:r>
        <w:rPr>
          <w:rStyle w:val="a6"/>
          <w:rFonts w:ascii="Times New Roman" w:hAnsi="Times New Roman" w:cs="Times New Roman"/>
          <w:sz w:val="28"/>
          <w:szCs w:val="28"/>
        </w:rPr>
        <w:footnoteReference w:id="16"/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991EA0" w:rsidRPr="00060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BE3" w:rsidRDefault="00205BE3" w:rsidP="0000418E">
      <w:pPr>
        <w:spacing w:after="0" w:line="240" w:lineRule="auto"/>
      </w:pPr>
      <w:r>
        <w:separator/>
      </w:r>
    </w:p>
  </w:endnote>
  <w:endnote w:type="continuationSeparator" w:id="0">
    <w:p w:rsidR="00205BE3" w:rsidRDefault="00205BE3" w:rsidP="00004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BE3" w:rsidRDefault="00205BE3" w:rsidP="0000418E">
      <w:pPr>
        <w:spacing w:after="0" w:line="240" w:lineRule="auto"/>
      </w:pPr>
      <w:r>
        <w:separator/>
      </w:r>
    </w:p>
  </w:footnote>
  <w:footnote w:type="continuationSeparator" w:id="0">
    <w:p w:rsidR="00205BE3" w:rsidRDefault="00205BE3" w:rsidP="0000418E">
      <w:pPr>
        <w:spacing w:after="0" w:line="240" w:lineRule="auto"/>
      </w:pPr>
      <w:r>
        <w:continuationSeparator/>
      </w:r>
    </w:p>
  </w:footnote>
  <w:footnote w:id="1">
    <w:p w:rsidR="000754FB" w:rsidRPr="00FD33D0" w:rsidRDefault="000754FB" w:rsidP="000754FB">
      <w:pPr>
        <w:pStyle w:val="a4"/>
        <w:rPr>
          <w:lang w:val="en-US"/>
        </w:rPr>
      </w:pPr>
      <w:r>
        <w:rPr>
          <w:rStyle w:val="a6"/>
        </w:rPr>
        <w:footnoteRef/>
      </w:r>
      <w:r w:rsidRPr="000754FB">
        <w:rPr>
          <w:lang w:val="en-US"/>
        </w:rPr>
        <w:t xml:space="preserve"> Andres Robert, Don Chaffing Validation of a biodynamic model of pushing and pulling</w:t>
      </w:r>
      <w:r w:rsidR="00A27C69" w:rsidRPr="00A27C69">
        <w:rPr>
          <w:lang w:val="en-US"/>
        </w:rPr>
        <w:t xml:space="preserve"> </w:t>
      </w:r>
      <w:r w:rsidRPr="000754FB">
        <w:rPr>
          <w:lang w:val="en-US"/>
        </w:rPr>
        <w:t xml:space="preserve">J. Biomechanics (1991) Vol. 24, No. 11. pp. 1033-1045.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"https://deepblue.lib.umich.edu/bitstream/handle/2027.42/29656/0000745.pdf?sequence=1" </w:instrText>
      </w:r>
      <w:r w:rsidR="00205BE3">
        <w:fldChar w:fldCharType="separate"/>
      </w:r>
      <w:r w:rsidRPr="0054321A">
        <w:rPr>
          <w:rStyle w:val="a7"/>
          <w:lang w:val="en-US"/>
        </w:rPr>
        <w:t>https://deepblue.lib.umich.edu/bitstream/handle/2027.42/29656/0000745.pdf?sequence=1</w:t>
      </w:r>
      <w:r w:rsidR="00205BE3">
        <w:rPr>
          <w:rStyle w:val="a7"/>
          <w:lang w:val="en-US"/>
        </w:rPr>
        <w:fldChar w:fldCharType="end"/>
      </w:r>
      <w:r w:rsidRPr="00FD33D0">
        <w:rPr>
          <w:lang w:val="en-US"/>
        </w:rPr>
        <w:t xml:space="preserve"> </w:t>
      </w:r>
    </w:p>
  </w:footnote>
  <w:footnote w:id="2">
    <w:p w:rsidR="00F222CD" w:rsidRPr="00F222CD" w:rsidRDefault="00F222CD">
      <w:pPr>
        <w:pStyle w:val="a4"/>
        <w:rPr>
          <w:lang w:val="en-US"/>
        </w:rPr>
      </w:pPr>
      <w:r>
        <w:rPr>
          <w:rStyle w:val="a6"/>
        </w:rPr>
        <w:footnoteRef/>
      </w:r>
      <w:r w:rsidRPr="00F222CD">
        <w:rPr>
          <w:lang w:val="en-US"/>
        </w:rPr>
        <w:t xml:space="preserve"> Judo Combat: Time-Motion Analysis And Biomechanical Approach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"https://www.researchgate.net/publication/351110989_Judo_Combat_Time-Motion_Analysis_And_Biomechanical_Approa</w:instrText>
      </w:r>
      <w:r w:rsidR="00205BE3" w:rsidRPr="00FF336C">
        <w:rPr>
          <w:lang w:val="en-US"/>
        </w:rPr>
        <w:instrText xml:space="preserve">ch?enrichId=rgreq-4f54c92760e5921b3beff9906ad3385a-XXX&amp;enrichSource=Y292ZXJQYWdlOzM1MTExMDk4OTtBUzoxMDE3MTk3NzU3NDcyNzcyQDE2MTk1MzAyNTI1MzA%3D&amp;el=1_x_3&amp;_esc=publicationCoverPdf" </w:instrText>
      </w:r>
      <w:r w:rsidR="00205BE3">
        <w:fldChar w:fldCharType="separate"/>
      </w:r>
      <w:r w:rsidRPr="0054321A">
        <w:rPr>
          <w:rStyle w:val="a7"/>
          <w:lang w:val="en-US"/>
        </w:rPr>
        <w:t>https://www.researchgate.net/publication/351110989_Judo_Combat_Time-Motion_Analysis_And_Biomechanical_Approach?enrichId=rgreq-4f54c92760e5921b3beff9906ad3385a-XXX&amp;enrichSource=Y292ZXJQYWdlOzM1MTExMDk4OTtBUzoxMDE3MTk3NzU3NDcyNzcyQDE2MTk1MzAyNTI1MzA%3D&amp;el=1_x_3&amp;_esc=publicationCoverPdf</w:t>
      </w:r>
      <w:r w:rsidR="00205BE3">
        <w:rPr>
          <w:rStyle w:val="a7"/>
          <w:lang w:val="en-US"/>
        </w:rPr>
        <w:fldChar w:fldCharType="end"/>
      </w:r>
      <w:r w:rsidRPr="00F222CD">
        <w:rPr>
          <w:lang w:val="en-US"/>
        </w:rPr>
        <w:t xml:space="preserve"> </w:t>
      </w:r>
    </w:p>
  </w:footnote>
  <w:footnote w:id="3">
    <w:p w:rsidR="00191803" w:rsidRPr="00191803" w:rsidRDefault="00191803">
      <w:pPr>
        <w:pStyle w:val="a4"/>
        <w:rPr>
          <w:lang w:val="en-US"/>
        </w:rPr>
      </w:pPr>
      <w:r>
        <w:rPr>
          <w:rStyle w:val="a6"/>
        </w:rPr>
        <w:footnoteRef/>
      </w:r>
      <w:r w:rsidRPr="00191803">
        <w:rPr>
          <w:lang w:val="en-US"/>
        </w:rPr>
        <w:t xml:space="preserve"> Marek A., </w:t>
      </w:r>
      <w:proofErr w:type="spellStart"/>
      <w:r w:rsidRPr="00191803">
        <w:rPr>
          <w:lang w:val="en-US"/>
        </w:rPr>
        <w:t>Sterkowicz-Przybycień</w:t>
      </w:r>
      <w:proofErr w:type="spellEnd"/>
      <w:r w:rsidRPr="00191803">
        <w:rPr>
          <w:lang w:val="en-US"/>
        </w:rPr>
        <w:t xml:space="preserve"> K. The efficiency of tactical and technical actions of the national teams of Japan and Russia at the World Championships in Judo (2013, 2014 and 2015) //Biomedical Human Kinetics. – 2018. – Т. 10. – №. 1. – С. 45. DOI:10.1515/bhk-2018-0008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"https://www.res</w:instrText>
      </w:r>
      <w:r w:rsidR="00205BE3" w:rsidRPr="00FF336C">
        <w:rPr>
          <w:lang w:val="en-US"/>
        </w:rPr>
        <w:instrText xml:space="preserve">earchgate.net/publication/323421462_The_efficiency_of_tactical_and_technical_actions_of_the_national_teams_of_Japan_and_Russia_at_the_World_Championships_in_Judo_2013_2014_and_2015" </w:instrText>
      </w:r>
      <w:r w:rsidR="00205BE3">
        <w:fldChar w:fldCharType="separate"/>
      </w:r>
      <w:r w:rsidRPr="0054321A">
        <w:rPr>
          <w:rStyle w:val="a7"/>
          <w:lang w:val="en-US"/>
        </w:rPr>
        <w:t>https://www.researchgate.net/publication/323421462_The_efficiency_of_tactical_and_technical_actions_of_the_national_teams_of_Japan_and_Russia_at_the_World_Championships_in_Judo_2013_2014_and_2015</w:t>
      </w:r>
      <w:r w:rsidR="00205BE3">
        <w:rPr>
          <w:rStyle w:val="a7"/>
          <w:lang w:val="en-US"/>
        </w:rPr>
        <w:fldChar w:fldCharType="end"/>
      </w:r>
      <w:r w:rsidRPr="00191803">
        <w:rPr>
          <w:lang w:val="en-US"/>
        </w:rPr>
        <w:t xml:space="preserve"> </w:t>
      </w:r>
    </w:p>
  </w:footnote>
  <w:footnote w:id="4">
    <w:p w:rsidR="0000418E" w:rsidRPr="0000418E" w:rsidRDefault="0000418E">
      <w:pPr>
        <w:pStyle w:val="a4"/>
        <w:rPr>
          <w:lang w:val="en-US"/>
        </w:rPr>
      </w:pPr>
      <w:r>
        <w:rPr>
          <w:rStyle w:val="a6"/>
        </w:rPr>
        <w:footnoteRef/>
      </w:r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Gourlay</w:t>
      </w:r>
      <w:proofErr w:type="spellEnd"/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Uvesten</w:t>
      </w:r>
      <w:proofErr w:type="spellEnd"/>
      <w:r w:rsidRPr="0000418E">
        <w:rPr>
          <w:lang w:val="en-US"/>
        </w:rPr>
        <w:t xml:space="preserve"> F. TEKNISK KARTLÄGGNING AV JUDO: EN ANALYS AV DAMJUNIORERS JUDO: </w:t>
      </w:r>
      <w:proofErr w:type="spellStart"/>
      <w:r w:rsidRPr="0000418E">
        <w:rPr>
          <w:lang w:val="en-US"/>
        </w:rPr>
        <w:t>дис</w:t>
      </w:r>
      <w:proofErr w:type="spellEnd"/>
      <w:r w:rsidRPr="0000418E">
        <w:rPr>
          <w:lang w:val="en-US"/>
        </w:rPr>
        <w:t xml:space="preserve">. – Linnaeus University, 2022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</w:instrText>
      </w:r>
      <w:r w:rsidR="00205BE3" w:rsidRPr="00FF336C">
        <w:rPr>
          <w:lang w:val="en-US"/>
        </w:rPr>
        <w:instrText xml:space="preserve">tps://lnu.diva-portal.org/smash/get/diva2:1675938/FULLTEXT01.pdf" </w:instrText>
      </w:r>
      <w:r w:rsidR="00205BE3">
        <w:fldChar w:fldCharType="separate"/>
      </w:r>
      <w:r w:rsidRPr="0054321A">
        <w:rPr>
          <w:rStyle w:val="a7"/>
          <w:lang w:val="en-US"/>
        </w:rPr>
        <w:t>https://lnu.diva-portal.org/smash/get/diva2:1675938/FULLTEXT01.pdf</w:t>
      </w:r>
      <w:r w:rsidR="00205BE3">
        <w:rPr>
          <w:rStyle w:val="a7"/>
          <w:lang w:val="en-US"/>
        </w:rPr>
        <w:fldChar w:fldCharType="end"/>
      </w:r>
      <w:r w:rsidRPr="0000418E">
        <w:rPr>
          <w:lang w:val="en-US"/>
        </w:rPr>
        <w:t xml:space="preserve"> </w:t>
      </w:r>
    </w:p>
  </w:footnote>
  <w:footnote w:id="5">
    <w:p w:rsidR="0000418E" w:rsidRPr="0000418E" w:rsidRDefault="0000418E">
      <w:pPr>
        <w:pStyle w:val="a4"/>
        <w:rPr>
          <w:lang w:val="en-US"/>
        </w:rPr>
      </w:pPr>
      <w:r>
        <w:rPr>
          <w:rStyle w:val="a6"/>
        </w:rPr>
        <w:footnoteRef/>
      </w:r>
      <w:r w:rsidRPr="0000418E">
        <w:rPr>
          <w:lang w:val="en-US"/>
        </w:rPr>
        <w:t xml:space="preserve"> Adam M. A profile of </w:t>
      </w:r>
      <w:proofErr w:type="spellStart"/>
      <w:r w:rsidRPr="0000418E">
        <w:rPr>
          <w:lang w:val="en-US"/>
        </w:rPr>
        <w:t>Paweł</w:t>
      </w:r>
      <w:proofErr w:type="spellEnd"/>
      <w:r w:rsidRPr="0000418E">
        <w:rPr>
          <w:lang w:val="en-US"/>
        </w:rPr>
        <w:t xml:space="preserve"> </w:t>
      </w:r>
      <w:proofErr w:type="spellStart"/>
      <w:r w:rsidRPr="0000418E">
        <w:rPr>
          <w:lang w:val="en-US"/>
        </w:rPr>
        <w:t>Nastula’s</w:t>
      </w:r>
      <w:proofErr w:type="spellEnd"/>
      <w:r w:rsidRPr="0000418E">
        <w:rPr>
          <w:lang w:val="en-US"/>
        </w:rPr>
        <w:t xml:space="preserve"> individual technical-tactical preparation //Archives of </w:t>
      </w:r>
      <w:proofErr w:type="spellStart"/>
      <w:r w:rsidRPr="0000418E">
        <w:rPr>
          <w:lang w:val="en-US"/>
        </w:rPr>
        <w:t>Budo</w:t>
      </w:r>
      <w:proofErr w:type="spellEnd"/>
      <w:r w:rsidRPr="0000418E">
        <w:rPr>
          <w:lang w:val="en-US"/>
        </w:rPr>
        <w:t xml:space="preserve"> Science of Martial Arts and Extreme Sports. – 2013. – </w:t>
      </w:r>
      <w:r w:rsidRPr="0000418E">
        <w:t>Т</w:t>
      </w:r>
      <w:r w:rsidRPr="0000418E">
        <w:rPr>
          <w:lang w:val="en-US"/>
        </w:rPr>
        <w:t xml:space="preserve">. 9. – </w:t>
      </w:r>
      <w:r w:rsidRPr="0000418E">
        <w:t>С</w:t>
      </w:r>
      <w:r w:rsidRPr="0000418E">
        <w:rPr>
          <w:lang w:val="en-US"/>
        </w:rPr>
        <w:t xml:space="preserve">. 69-75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"https://smaes.archbudo.com/view/abstract/id/10752" </w:instrText>
      </w:r>
      <w:r w:rsidR="00205BE3">
        <w:fldChar w:fldCharType="separate"/>
      </w:r>
      <w:r w:rsidRPr="0054321A">
        <w:rPr>
          <w:rStyle w:val="a7"/>
          <w:lang w:val="en-US"/>
        </w:rPr>
        <w:t>https://smaes.archbudo.com/view/abstract/id/10752</w:t>
      </w:r>
      <w:r w:rsidR="00205BE3">
        <w:rPr>
          <w:rStyle w:val="a7"/>
          <w:lang w:val="en-US"/>
        </w:rPr>
        <w:fldChar w:fldCharType="end"/>
      </w:r>
      <w:r w:rsidRPr="0000418E">
        <w:rPr>
          <w:lang w:val="en-US"/>
        </w:rPr>
        <w:t xml:space="preserve"> </w:t>
      </w:r>
    </w:p>
  </w:footnote>
  <w:footnote w:id="6">
    <w:p w:rsidR="000754FB" w:rsidRPr="00AF0F8E" w:rsidRDefault="000754FB">
      <w:pPr>
        <w:pStyle w:val="a4"/>
        <w:rPr>
          <w:lang w:val="en-US"/>
        </w:rPr>
      </w:pPr>
      <w:r>
        <w:rPr>
          <w:rStyle w:val="a6"/>
        </w:rPr>
        <w:footnoteRef/>
      </w:r>
      <w:r w:rsidRPr="000754FB">
        <w:rPr>
          <w:lang w:val="en-US"/>
        </w:rPr>
        <w:t xml:space="preserve"> Kudo K. Judo in Action - Throwing Technique. – Japan Publications Trading Company, 1967.- </w:t>
      </w:r>
      <w:r w:rsidRPr="00AF0F8E">
        <w:rPr>
          <w:lang w:val="en-US"/>
        </w:rPr>
        <w:t>128 p. ISBN 10: 0870400746 ISBN 13: 9780870400742</w:t>
      </w:r>
    </w:p>
  </w:footnote>
  <w:footnote w:id="7">
    <w:p w:rsidR="00F438D6" w:rsidRPr="00AF0F8E" w:rsidRDefault="00F438D6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"https://google.github.io/mediapipe/" </w:instrText>
      </w:r>
      <w:r w:rsidR="00205BE3">
        <w:fldChar w:fldCharType="separate"/>
      </w:r>
      <w:r w:rsidRPr="00AF0F8E">
        <w:rPr>
          <w:rStyle w:val="a7"/>
          <w:lang w:val="en-US"/>
        </w:rPr>
        <w:t>https://google.github.io/mediapipe/</w:t>
      </w:r>
      <w:r w:rsidR="00205BE3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8">
    <w:p w:rsidR="00F438D6" w:rsidRPr="00AF0F8E" w:rsidRDefault="00F438D6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</w:instrText>
      </w:r>
      <w:r w:rsidR="00205BE3" w:rsidRPr="00FF336C">
        <w:rPr>
          <w:lang w:val="en-US"/>
        </w:rPr>
        <w:instrText xml:space="preserve">colab.research.google.com/drive/16UOYQ9hPM6L5tkq7oQBl1ULJ8xuK5Lae?usp=sharing" </w:instrText>
      </w:r>
      <w:r w:rsidR="00205BE3">
        <w:fldChar w:fldCharType="separate"/>
      </w:r>
      <w:r w:rsidRPr="00AF0F8E">
        <w:rPr>
          <w:rStyle w:val="a7"/>
          <w:lang w:val="en-US"/>
        </w:rPr>
        <w:t>https://colab.research.google.com/drive/16UOYQ9hPM6L5tkq7oQBl1ULJ8xuK5Lae?usp=sharing</w:t>
      </w:r>
      <w:r w:rsidR="00205BE3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9">
    <w:p w:rsidR="00B02282" w:rsidRPr="00AF0F8E" w:rsidRDefault="00B02282">
      <w:pPr>
        <w:pStyle w:val="a4"/>
        <w:rPr>
          <w:lang w:val="en-US"/>
        </w:rPr>
      </w:pPr>
      <w:r>
        <w:rPr>
          <w:rStyle w:val="a6"/>
        </w:rPr>
        <w:footnoteRef/>
      </w:r>
      <w:r w:rsidRPr="00AF0F8E">
        <w:rPr>
          <w:lang w:val="en-US"/>
        </w:rPr>
        <w:t xml:space="preserve">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"https://github.com/vn322/Sport-University/blob/main/ACADEM_pose.py" </w:instrText>
      </w:r>
      <w:r w:rsidR="00205BE3">
        <w:fldChar w:fldCharType="separate"/>
      </w:r>
      <w:r w:rsidRPr="0054321A">
        <w:rPr>
          <w:rStyle w:val="a7"/>
          <w:lang w:val="en-US"/>
        </w:rPr>
        <w:t>https</w:t>
      </w:r>
      <w:r w:rsidRPr="00AF0F8E">
        <w:rPr>
          <w:rStyle w:val="a7"/>
          <w:lang w:val="en-US"/>
        </w:rPr>
        <w:t>://</w:t>
      </w:r>
      <w:r w:rsidRPr="0054321A">
        <w:rPr>
          <w:rStyle w:val="a7"/>
          <w:lang w:val="en-US"/>
        </w:rPr>
        <w:t>github</w:t>
      </w:r>
      <w:r w:rsidRPr="00AF0F8E">
        <w:rPr>
          <w:rStyle w:val="a7"/>
          <w:lang w:val="en-US"/>
        </w:rPr>
        <w:t>.</w:t>
      </w:r>
      <w:r w:rsidRPr="0054321A">
        <w:rPr>
          <w:rStyle w:val="a7"/>
          <w:lang w:val="en-US"/>
        </w:rPr>
        <w:t>com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vn</w:t>
      </w:r>
      <w:r w:rsidRPr="00AF0F8E">
        <w:rPr>
          <w:rStyle w:val="a7"/>
          <w:lang w:val="en-US"/>
        </w:rPr>
        <w:t>322/</w:t>
      </w:r>
      <w:r w:rsidRPr="0054321A">
        <w:rPr>
          <w:rStyle w:val="a7"/>
          <w:lang w:val="en-US"/>
        </w:rPr>
        <w:t>Sport</w:t>
      </w:r>
      <w:r w:rsidRPr="00AF0F8E">
        <w:rPr>
          <w:rStyle w:val="a7"/>
          <w:lang w:val="en-US"/>
        </w:rPr>
        <w:t>-</w:t>
      </w:r>
      <w:r w:rsidRPr="0054321A">
        <w:rPr>
          <w:rStyle w:val="a7"/>
          <w:lang w:val="en-US"/>
        </w:rPr>
        <w:t>University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blob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main</w:t>
      </w:r>
      <w:r w:rsidRPr="00AF0F8E">
        <w:rPr>
          <w:rStyle w:val="a7"/>
          <w:lang w:val="en-US"/>
        </w:rPr>
        <w:t>/</w:t>
      </w:r>
      <w:r w:rsidRPr="0054321A">
        <w:rPr>
          <w:rStyle w:val="a7"/>
          <w:lang w:val="en-US"/>
        </w:rPr>
        <w:t>ACADEM</w:t>
      </w:r>
      <w:r w:rsidRPr="00AF0F8E">
        <w:rPr>
          <w:rStyle w:val="a7"/>
          <w:lang w:val="en-US"/>
        </w:rPr>
        <w:t>_</w:t>
      </w:r>
      <w:r w:rsidRPr="0054321A">
        <w:rPr>
          <w:rStyle w:val="a7"/>
          <w:lang w:val="en-US"/>
        </w:rPr>
        <w:t>pose</w:t>
      </w:r>
      <w:r w:rsidRPr="00AF0F8E">
        <w:rPr>
          <w:rStyle w:val="a7"/>
          <w:lang w:val="en-US"/>
        </w:rPr>
        <w:t>.</w:t>
      </w:r>
      <w:r w:rsidRPr="0054321A">
        <w:rPr>
          <w:rStyle w:val="a7"/>
          <w:lang w:val="en-US"/>
        </w:rPr>
        <w:t>py</w:t>
      </w:r>
      <w:r w:rsidR="00205BE3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10">
    <w:p w:rsidR="00E7126D" w:rsidRPr="00B02282" w:rsidRDefault="00E7126D">
      <w:pPr>
        <w:pStyle w:val="a4"/>
        <w:rPr>
          <w:lang w:val="en-US"/>
        </w:rPr>
      </w:pPr>
      <w:r>
        <w:rPr>
          <w:rStyle w:val="a6"/>
        </w:rPr>
        <w:footnoteRef/>
      </w:r>
      <w:r w:rsidRPr="00E7126D">
        <w:rPr>
          <w:lang w:val="en-US"/>
        </w:rPr>
        <w:t xml:space="preserve"> Kim E. H., Cho D. H., Kwon M. S. A Kinematic Analysis of </w:t>
      </w:r>
      <w:proofErr w:type="spellStart"/>
      <w:r w:rsidRPr="00E7126D">
        <w:rPr>
          <w:lang w:val="en-US"/>
        </w:rPr>
        <w:t>Uchi-mata</w:t>
      </w:r>
      <w:proofErr w:type="spellEnd"/>
      <w:r w:rsidRPr="00E7126D">
        <w:rPr>
          <w:lang w:val="en-US"/>
        </w:rPr>
        <w:t xml:space="preserve"> (inner thigh reaping throw) by </w:t>
      </w:r>
      <w:proofErr w:type="spellStart"/>
      <w:r w:rsidRPr="00E7126D">
        <w:rPr>
          <w:lang w:val="en-US"/>
        </w:rPr>
        <w:t>Kumi</w:t>
      </w:r>
      <w:proofErr w:type="spellEnd"/>
      <w:r w:rsidRPr="00E7126D">
        <w:rPr>
          <w:lang w:val="en-US"/>
        </w:rPr>
        <w:t xml:space="preserve">-kata types in Judo //Korean Journal of Sport Biomechanics. – 2002. – </w:t>
      </w:r>
      <w:r w:rsidRPr="00E7126D">
        <w:t>Т</w:t>
      </w:r>
      <w:r w:rsidRPr="00E7126D">
        <w:rPr>
          <w:lang w:val="en-US"/>
        </w:rPr>
        <w:t xml:space="preserve">. 12. – №. 1. – </w:t>
      </w:r>
      <w:r w:rsidRPr="00E7126D">
        <w:t>С</w:t>
      </w:r>
      <w:r w:rsidRPr="00E7126D">
        <w:rPr>
          <w:lang w:val="en-US"/>
        </w:rPr>
        <w:t>. 63-87.</w:t>
      </w:r>
      <w:r w:rsidRPr="00B02282">
        <w:rPr>
          <w:lang w:val="en-US"/>
        </w:rPr>
        <w:t xml:space="preserve">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"http://koreascience.or.kr/article/JAKO200220163389537.page" </w:instrText>
      </w:r>
      <w:r w:rsidR="00205BE3">
        <w:fldChar w:fldCharType="separate"/>
      </w:r>
      <w:r w:rsidR="00FD33D0" w:rsidRPr="00B02282">
        <w:rPr>
          <w:rStyle w:val="a7"/>
          <w:lang w:val="en-US"/>
        </w:rPr>
        <w:t>http://koreascience.or.kr/article/JAKO200220163389537.page</w:t>
      </w:r>
      <w:r w:rsidR="00205BE3">
        <w:rPr>
          <w:rStyle w:val="a7"/>
          <w:lang w:val="en-US"/>
        </w:rPr>
        <w:fldChar w:fldCharType="end"/>
      </w:r>
      <w:r w:rsidR="00FD33D0" w:rsidRPr="00B02282">
        <w:rPr>
          <w:lang w:val="en-US"/>
        </w:rPr>
        <w:t xml:space="preserve"> </w:t>
      </w:r>
    </w:p>
  </w:footnote>
  <w:footnote w:id="11">
    <w:p w:rsidR="00B02282" w:rsidRPr="00AF0F8E" w:rsidRDefault="00B02282">
      <w:pPr>
        <w:pStyle w:val="a4"/>
      </w:pPr>
      <w:r>
        <w:rPr>
          <w:rStyle w:val="a6"/>
        </w:rPr>
        <w:footnoteRef/>
      </w:r>
      <w:r w:rsidRPr="00B02282">
        <w:rPr>
          <w:lang w:val="en-US"/>
        </w:rPr>
        <w:t xml:space="preserve"> Suarez G. R., Davila M. G., </w:t>
      </w:r>
      <w:proofErr w:type="spellStart"/>
      <w:r w:rsidRPr="00B02282">
        <w:rPr>
          <w:lang w:val="en-US"/>
        </w:rPr>
        <w:t>Puche</w:t>
      </w:r>
      <w:proofErr w:type="spellEnd"/>
      <w:r w:rsidRPr="00B02282">
        <w:rPr>
          <w:lang w:val="en-US"/>
        </w:rPr>
        <w:t xml:space="preserve"> P. P. </w:t>
      </w:r>
      <w:proofErr w:type="spellStart"/>
      <w:r w:rsidRPr="00B02282">
        <w:rPr>
          <w:lang w:val="en-US"/>
        </w:rPr>
        <w:t>Análisis</w:t>
      </w:r>
      <w:proofErr w:type="spellEnd"/>
      <w:r w:rsidRPr="00B02282">
        <w:rPr>
          <w:lang w:val="en-US"/>
        </w:rPr>
        <w:t xml:space="preserve"> de </w:t>
      </w:r>
      <w:proofErr w:type="spellStart"/>
      <w:r w:rsidRPr="00B02282">
        <w:rPr>
          <w:lang w:val="en-US"/>
        </w:rPr>
        <w:t>factores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biomecánicos</w:t>
      </w:r>
      <w:proofErr w:type="spellEnd"/>
      <w:r w:rsidRPr="00B02282">
        <w:rPr>
          <w:lang w:val="en-US"/>
        </w:rPr>
        <w:t xml:space="preserve"> y </w:t>
      </w:r>
      <w:proofErr w:type="spellStart"/>
      <w:r w:rsidRPr="00B02282">
        <w:rPr>
          <w:lang w:val="en-US"/>
        </w:rPr>
        <w:t>comportamentales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relacionados</w:t>
      </w:r>
      <w:proofErr w:type="spellEnd"/>
      <w:r w:rsidRPr="00B02282">
        <w:rPr>
          <w:lang w:val="en-US"/>
        </w:rPr>
        <w:t xml:space="preserve"> con la </w:t>
      </w:r>
      <w:proofErr w:type="spellStart"/>
      <w:r w:rsidRPr="00B02282">
        <w:rPr>
          <w:lang w:val="en-US"/>
        </w:rPr>
        <w:t>efectividad</w:t>
      </w:r>
      <w:proofErr w:type="spellEnd"/>
      <w:r w:rsidRPr="00B02282">
        <w:rPr>
          <w:lang w:val="en-US"/>
        </w:rPr>
        <w:t xml:space="preserve"> del </w:t>
      </w:r>
      <w:proofErr w:type="spellStart"/>
      <w:r w:rsidRPr="00B02282">
        <w:rPr>
          <w:lang w:val="en-US"/>
        </w:rPr>
        <w:t>uchi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mata</w:t>
      </w:r>
      <w:proofErr w:type="spellEnd"/>
      <w:r w:rsidRPr="00B02282">
        <w:rPr>
          <w:lang w:val="en-US"/>
        </w:rPr>
        <w:t xml:space="preserve">, </w:t>
      </w:r>
      <w:proofErr w:type="spellStart"/>
      <w:r w:rsidRPr="00B02282">
        <w:rPr>
          <w:lang w:val="en-US"/>
        </w:rPr>
        <w:t>ejecutado</w:t>
      </w:r>
      <w:proofErr w:type="spellEnd"/>
      <w:r w:rsidRPr="00B02282">
        <w:rPr>
          <w:lang w:val="en-US"/>
        </w:rPr>
        <w:t xml:space="preserve"> </w:t>
      </w:r>
      <w:proofErr w:type="spellStart"/>
      <w:r w:rsidRPr="00B02282">
        <w:rPr>
          <w:lang w:val="en-US"/>
        </w:rPr>
        <w:t>por</w:t>
      </w:r>
      <w:proofErr w:type="spellEnd"/>
      <w:r w:rsidRPr="00B02282">
        <w:rPr>
          <w:lang w:val="en-US"/>
        </w:rPr>
        <w:t xml:space="preserve"> judokas de alto </w:t>
      </w:r>
      <w:proofErr w:type="spellStart"/>
      <w:r w:rsidRPr="00B02282">
        <w:rPr>
          <w:lang w:val="en-US"/>
        </w:rPr>
        <w:t>rendimiento</w:t>
      </w:r>
      <w:proofErr w:type="spellEnd"/>
      <w:r w:rsidRPr="00B02282">
        <w:rPr>
          <w:lang w:val="en-US"/>
        </w:rPr>
        <w:t xml:space="preserve"> //Universidad de Granada. – 2002.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"http://viref.udea.edu.co/contenido/pdf/012_analisis_biomecanicos_uchi_mata.pdf" </w:instrText>
      </w:r>
      <w:r w:rsidR="00205BE3">
        <w:fldChar w:fldCharType="separate"/>
      </w:r>
      <w:r w:rsidRPr="0054321A">
        <w:rPr>
          <w:rStyle w:val="a7"/>
          <w:lang w:val="en-US"/>
        </w:rPr>
        <w:t>http</w:t>
      </w:r>
      <w:r w:rsidRPr="00AF0F8E">
        <w:rPr>
          <w:rStyle w:val="a7"/>
        </w:rPr>
        <w:t>://</w:t>
      </w:r>
      <w:proofErr w:type="spellStart"/>
      <w:r w:rsidRPr="0054321A">
        <w:rPr>
          <w:rStyle w:val="a7"/>
          <w:lang w:val="en-US"/>
        </w:rPr>
        <w:t>viref</w:t>
      </w:r>
      <w:proofErr w:type="spellEnd"/>
      <w:r w:rsidRPr="00AF0F8E">
        <w:rPr>
          <w:rStyle w:val="a7"/>
        </w:rPr>
        <w:t>.</w:t>
      </w:r>
      <w:proofErr w:type="spellStart"/>
      <w:r w:rsidRPr="0054321A">
        <w:rPr>
          <w:rStyle w:val="a7"/>
          <w:lang w:val="en-US"/>
        </w:rPr>
        <w:t>udea</w:t>
      </w:r>
      <w:proofErr w:type="spellEnd"/>
      <w:r w:rsidRPr="00AF0F8E">
        <w:rPr>
          <w:rStyle w:val="a7"/>
        </w:rPr>
        <w:t>.</w:t>
      </w:r>
      <w:proofErr w:type="spellStart"/>
      <w:r w:rsidRPr="0054321A">
        <w:rPr>
          <w:rStyle w:val="a7"/>
          <w:lang w:val="en-US"/>
        </w:rPr>
        <w:t>edu</w:t>
      </w:r>
      <w:proofErr w:type="spellEnd"/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co</w:t>
      </w:r>
      <w:r w:rsidRPr="00AF0F8E">
        <w:rPr>
          <w:rStyle w:val="a7"/>
        </w:rPr>
        <w:t>/</w:t>
      </w:r>
      <w:proofErr w:type="spellStart"/>
      <w:r w:rsidRPr="0054321A">
        <w:rPr>
          <w:rStyle w:val="a7"/>
          <w:lang w:val="en-US"/>
        </w:rPr>
        <w:t>contenido</w:t>
      </w:r>
      <w:proofErr w:type="spellEnd"/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pdf</w:t>
      </w:r>
      <w:r w:rsidRPr="00AF0F8E">
        <w:rPr>
          <w:rStyle w:val="a7"/>
        </w:rPr>
        <w:t>/012_</w:t>
      </w:r>
      <w:proofErr w:type="spellStart"/>
      <w:r w:rsidRPr="0054321A">
        <w:rPr>
          <w:rStyle w:val="a7"/>
          <w:lang w:val="en-US"/>
        </w:rPr>
        <w:t>analisis</w:t>
      </w:r>
      <w:proofErr w:type="spellEnd"/>
      <w:r w:rsidRPr="00AF0F8E">
        <w:rPr>
          <w:rStyle w:val="a7"/>
        </w:rPr>
        <w:t>_</w:t>
      </w:r>
      <w:proofErr w:type="spellStart"/>
      <w:r w:rsidRPr="0054321A">
        <w:rPr>
          <w:rStyle w:val="a7"/>
          <w:lang w:val="en-US"/>
        </w:rPr>
        <w:t>biomecanicos</w:t>
      </w:r>
      <w:proofErr w:type="spellEnd"/>
      <w:r w:rsidRPr="00AF0F8E">
        <w:rPr>
          <w:rStyle w:val="a7"/>
        </w:rPr>
        <w:t>_</w:t>
      </w:r>
      <w:proofErr w:type="spellStart"/>
      <w:r w:rsidRPr="0054321A">
        <w:rPr>
          <w:rStyle w:val="a7"/>
          <w:lang w:val="en-US"/>
        </w:rPr>
        <w:t>uchi</w:t>
      </w:r>
      <w:proofErr w:type="spellEnd"/>
      <w:r w:rsidRPr="00AF0F8E">
        <w:rPr>
          <w:rStyle w:val="a7"/>
        </w:rPr>
        <w:t>_</w:t>
      </w:r>
      <w:proofErr w:type="spellStart"/>
      <w:r w:rsidRPr="0054321A">
        <w:rPr>
          <w:rStyle w:val="a7"/>
          <w:lang w:val="en-US"/>
        </w:rPr>
        <w:t>mata</w:t>
      </w:r>
      <w:proofErr w:type="spellEnd"/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pdf</w:t>
      </w:r>
      <w:r w:rsidR="00205BE3">
        <w:rPr>
          <w:rStyle w:val="a7"/>
          <w:lang w:val="en-US"/>
        </w:rPr>
        <w:fldChar w:fldCharType="end"/>
      </w:r>
      <w:r w:rsidRPr="00AF0F8E">
        <w:t xml:space="preserve"> </w:t>
      </w:r>
    </w:p>
  </w:footnote>
  <w:footnote w:id="12">
    <w:p w:rsidR="00FD33D0" w:rsidRPr="00AF0F8E" w:rsidRDefault="00FD33D0">
      <w:pPr>
        <w:pStyle w:val="a4"/>
        <w:rPr>
          <w:lang w:val="en-US"/>
        </w:rPr>
      </w:pPr>
      <w:r>
        <w:rPr>
          <w:rStyle w:val="a6"/>
        </w:rPr>
        <w:footnoteRef/>
      </w:r>
      <w:r w:rsidRPr="00FD33D0">
        <w:rPr>
          <w:lang w:val="en-US"/>
        </w:rPr>
        <w:t xml:space="preserve"> Kim, E. H., Yoon, H., Kim, S. S., &amp; Chung, C. W. (2005). Biomechanical traits analysis when performing of judo </w:t>
      </w:r>
      <w:proofErr w:type="spellStart"/>
      <w:r w:rsidRPr="00FD33D0">
        <w:rPr>
          <w:lang w:val="en-US"/>
        </w:rPr>
        <w:t>Uchimata</w:t>
      </w:r>
      <w:proofErr w:type="spellEnd"/>
      <w:r w:rsidRPr="00FD33D0">
        <w:rPr>
          <w:lang w:val="en-US"/>
        </w:rPr>
        <w:t xml:space="preserve"> by posture and voluntary resistance levels of </w:t>
      </w:r>
      <w:proofErr w:type="spellStart"/>
      <w:r w:rsidRPr="00FD33D0">
        <w:rPr>
          <w:lang w:val="en-US"/>
        </w:rPr>
        <w:t>uke</w:t>
      </w:r>
      <w:proofErr w:type="spellEnd"/>
      <w:r w:rsidRPr="00FD33D0">
        <w:rPr>
          <w:lang w:val="en-US"/>
        </w:rPr>
        <w:t xml:space="preserve">. In ISBS-Conference Proceedings Archive.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</w:instrText>
      </w:r>
      <w:r w:rsidR="00205BE3" w:rsidRPr="00FF336C">
        <w:rPr>
          <w:lang w:val="en-US"/>
        </w:rPr>
        <w:instrText xml:space="preserve">ttps://ojs.ub.uni-konstanz.de/cpa/article/view/1158" </w:instrText>
      </w:r>
      <w:r w:rsidR="00205BE3">
        <w:fldChar w:fldCharType="separate"/>
      </w:r>
      <w:r w:rsidRPr="0054321A">
        <w:rPr>
          <w:rStyle w:val="a7"/>
          <w:lang w:val="en-US"/>
        </w:rPr>
        <w:t>https://ojs.ub.uni-konstanz.de/cpa/article/view/1158</w:t>
      </w:r>
      <w:r w:rsidR="00205BE3">
        <w:rPr>
          <w:rStyle w:val="a7"/>
          <w:lang w:val="en-US"/>
        </w:rPr>
        <w:fldChar w:fldCharType="end"/>
      </w:r>
      <w:r w:rsidRPr="00AF0F8E">
        <w:rPr>
          <w:lang w:val="en-US"/>
        </w:rPr>
        <w:t xml:space="preserve"> </w:t>
      </w:r>
    </w:p>
  </w:footnote>
  <w:footnote w:id="13">
    <w:p w:rsidR="00FD33D0" w:rsidRPr="00FD33D0" w:rsidRDefault="00FD33D0">
      <w:pPr>
        <w:pStyle w:val="a4"/>
      </w:pPr>
      <w:r>
        <w:rPr>
          <w:rStyle w:val="a6"/>
        </w:rPr>
        <w:footnoteRef/>
      </w:r>
      <w:r w:rsidRPr="00FD33D0">
        <w:rPr>
          <w:lang w:val="en-US"/>
        </w:rPr>
        <w:t xml:space="preserve"> </w:t>
      </w:r>
      <w:proofErr w:type="spellStart"/>
      <w:r w:rsidRPr="00FD33D0">
        <w:rPr>
          <w:lang w:val="en-US"/>
        </w:rPr>
        <w:t>Minamitani</w:t>
      </w:r>
      <w:proofErr w:type="spellEnd"/>
      <w:r w:rsidRPr="00FD33D0">
        <w:rPr>
          <w:lang w:val="en-US"/>
        </w:rPr>
        <w:t xml:space="preserve"> N. et al. Biomechanical properties of judo throwing technique, </w:t>
      </w:r>
      <w:proofErr w:type="spellStart"/>
      <w:r w:rsidRPr="00FD33D0">
        <w:rPr>
          <w:lang w:val="en-US"/>
        </w:rPr>
        <w:t>uchimata</w:t>
      </w:r>
      <w:proofErr w:type="spellEnd"/>
      <w:r w:rsidRPr="00FD33D0">
        <w:rPr>
          <w:lang w:val="en-US"/>
        </w:rPr>
        <w:t xml:space="preserve">, especially for newly developed flamingo technique //ISBS-Conference Proceedings Archive. – 1988. </w:t>
      </w:r>
      <w:r w:rsidR="00205BE3">
        <w:fldChar w:fldCharType="begin"/>
      </w:r>
      <w:r w:rsidR="00205BE3" w:rsidRPr="00FF336C">
        <w:rPr>
          <w:lang w:val="en-US"/>
        </w:rPr>
        <w:instrText xml:space="preserve"> HYPERLINK "https://ojs.ub.uni-konstanz.de/cpa/article/view/1807" </w:instrText>
      </w:r>
      <w:r w:rsidR="00205BE3">
        <w:fldChar w:fldCharType="separate"/>
      </w:r>
      <w:r w:rsidRPr="0054321A">
        <w:rPr>
          <w:rStyle w:val="a7"/>
          <w:lang w:val="en-US"/>
        </w:rPr>
        <w:t>https</w:t>
      </w:r>
      <w:r w:rsidRPr="00AF0F8E">
        <w:rPr>
          <w:rStyle w:val="a7"/>
        </w:rPr>
        <w:t>://</w:t>
      </w:r>
      <w:proofErr w:type="spellStart"/>
      <w:r w:rsidRPr="0054321A">
        <w:rPr>
          <w:rStyle w:val="a7"/>
          <w:lang w:val="en-US"/>
        </w:rPr>
        <w:t>ojs</w:t>
      </w:r>
      <w:proofErr w:type="spellEnd"/>
      <w:r w:rsidRPr="00AF0F8E">
        <w:rPr>
          <w:rStyle w:val="a7"/>
        </w:rPr>
        <w:t>.</w:t>
      </w:r>
      <w:proofErr w:type="spellStart"/>
      <w:r w:rsidRPr="0054321A">
        <w:rPr>
          <w:rStyle w:val="a7"/>
          <w:lang w:val="en-US"/>
        </w:rPr>
        <w:t>ub</w:t>
      </w:r>
      <w:proofErr w:type="spellEnd"/>
      <w:r w:rsidRPr="00AF0F8E">
        <w:rPr>
          <w:rStyle w:val="a7"/>
        </w:rPr>
        <w:t>.</w:t>
      </w:r>
      <w:proofErr w:type="spellStart"/>
      <w:r w:rsidRPr="0054321A">
        <w:rPr>
          <w:rStyle w:val="a7"/>
          <w:lang w:val="en-US"/>
        </w:rPr>
        <w:t>uni</w:t>
      </w:r>
      <w:proofErr w:type="spellEnd"/>
      <w:r w:rsidRPr="00AF0F8E">
        <w:rPr>
          <w:rStyle w:val="a7"/>
        </w:rPr>
        <w:t>-</w:t>
      </w:r>
      <w:proofErr w:type="spellStart"/>
      <w:r w:rsidRPr="0054321A">
        <w:rPr>
          <w:rStyle w:val="a7"/>
          <w:lang w:val="en-US"/>
        </w:rPr>
        <w:t>konstanz</w:t>
      </w:r>
      <w:proofErr w:type="spellEnd"/>
      <w:r w:rsidRPr="00AF0F8E">
        <w:rPr>
          <w:rStyle w:val="a7"/>
        </w:rPr>
        <w:t>.</w:t>
      </w:r>
      <w:r w:rsidRPr="0054321A">
        <w:rPr>
          <w:rStyle w:val="a7"/>
          <w:lang w:val="en-US"/>
        </w:rPr>
        <w:t>de</w:t>
      </w:r>
      <w:r w:rsidRPr="00AF0F8E">
        <w:rPr>
          <w:rStyle w:val="a7"/>
        </w:rPr>
        <w:t>/</w:t>
      </w:r>
      <w:proofErr w:type="spellStart"/>
      <w:r w:rsidRPr="0054321A">
        <w:rPr>
          <w:rStyle w:val="a7"/>
          <w:lang w:val="en-US"/>
        </w:rPr>
        <w:t>cpa</w:t>
      </w:r>
      <w:proofErr w:type="spellEnd"/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article</w:t>
      </w:r>
      <w:r w:rsidRPr="00AF0F8E">
        <w:rPr>
          <w:rStyle w:val="a7"/>
        </w:rPr>
        <w:t>/</w:t>
      </w:r>
      <w:r w:rsidRPr="0054321A">
        <w:rPr>
          <w:rStyle w:val="a7"/>
          <w:lang w:val="en-US"/>
        </w:rPr>
        <w:t>view</w:t>
      </w:r>
      <w:r w:rsidRPr="00AF0F8E">
        <w:rPr>
          <w:rStyle w:val="a7"/>
        </w:rPr>
        <w:t>/1807</w:t>
      </w:r>
      <w:r w:rsidR="00205BE3">
        <w:rPr>
          <w:rStyle w:val="a7"/>
        </w:rPr>
        <w:fldChar w:fldCharType="end"/>
      </w:r>
      <w:r>
        <w:t xml:space="preserve"> </w:t>
      </w:r>
    </w:p>
  </w:footnote>
  <w:footnote w:id="14">
    <w:p w:rsidR="00B02282" w:rsidRDefault="00B02282">
      <w:pPr>
        <w:pStyle w:val="a4"/>
      </w:pPr>
      <w:r>
        <w:rPr>
          <w:rStyle w:val="a6"/>
        </w:rPr>
        <w:footnoteRef/>
      </w:r>
      <w:r>
        <w:t xml:space="preserve"> </w:t>
      </w:r>
      <w:hyperlink r:id="rId1" w:history="1">
        <w:r w:rsidRPr="0054321A">
          <w:rPr>
            <w:rStyle w:val="a7"/>
          </w:rPr>
          <w:t>https://github.com/vn322/Sport-University/blob/main/ACADEM_pose.py</w:t>
        </w:r>
      </w:hyperlink>
      <w:r>
        <w:t xml:space="preserve"> </w:t>
      </w:r>
    </w:p>
  </w:footnote>
  <w:footnote w:id="15">
    <w:p w:rsidR="00B02282" w:rsidRDefault="00B02282">
      <w:pPr>
        <w:pStyle w:val="a4"/>
      </w:pPr>
      <w:r>
        <w:rPr>
          <w:rStyle w:val="a6"/>
        </w:rPr>
        <w:footnoteRef/>
      </w:r>
      <w:hyperlink r:id="rId2" w:history="1">
        <w:r w:rsidR="00A27C69" w:rsidRPr="00031DBB">
          <w:rPr>
            <w:rStyle w:val="a7"/>
          </w:rPr>
          <w:t>https://github.com/vn322/Netology_DS_course/blob/main/%D0%91%D0%B8%D0%BE%D0%BC%D0%B5%D1%85%D0%B0%D0%BD%D0%B8%D1%87%D0%B5%D1%81%D0%BA%D0%B8%D0%B9_%D0%B0%D0%BD%D0%B0%D0%BB%D0%B8%D0%B7_%D0%B2%D1%8B%D0%BF%D0%BE%D0%BB%D0%BD%D0%B5%D0%BD%D0%B8%D1%8F_%D0%BF%D1%80%D0%B8%D1%91%D0%BC%D0%B0_%D0%A3%D1%87%D0%B8_%D0%9C%D0%B0%D1%82%D0%B0_%D0%B2_%D0%B4%D0%B7%D1%8E%D0%B4%D0%BE.ipynb</w:t>
        </w:r>
      </w:hyperlink>
      <w:r w:rsidR="00A27C69">
        <w:t xml:space="preserve"> </w:t>
      </w:r>
      <w:r>
        <w:t xml:space="preserve"> </w:t>
      </w:r>
    </w:p>
  </w:footnote>
  <w:footnote w:id="16">
    <w:p w:rsidR="00991EA0" w:rsidRPr="00991EA0" w:rsidRDefault="00991EA0">
      <w:pPr>
        <w:pStyle w:val="a4"/>
        <w:rPr>
          <w:lang w:val="en-US"/>
        </w:rPr>
      </w:pPr>
      <w:r>
        <w:rPr>
          <w:rStyle w:val="a6"/>
        </w:rPr>
        <w:footnoteRef/>
      </w:r>
      <w:r w:rsidRPr="00991EA0">
        <w:rPr>
          <w:lang w:val="en-US"/>
        </w:rPr>
        <w:t xml:space="preserve"> </w:t>
      </w:r>
      <w:proofErr w:type="gramStart"/>
      <w:r w:rsidRPr="00991EA0">
        <w:rPr>
          <w:lang w:val="en-US"/>
        </w:rPr>
        <w:t>An</w:t>
      </w:r>
      <w:proofErr w:type="gramEnd"/>
      <w:r w:rsidRPr="00991EA0">
        <w:rPr>
          <w:lang w:val="en-US"/>
        </w:rPr>
        <w:t xml:space="preserve"> J., </w:t>
      </w:r>
      <w:proofErr w:type="spellStart"/>
      <w:r w:rsidRPr="00991EA0">
        <w:rPr>
          <w:lang w:val="en-US"/>
        </w:rPr>
        <w:t>Wulf</w:t>
      </w:r>
      <w:proofErr w:type="spellEnd"/>
      <w:r w:rsidRPr="00991EA0">
        <w:rPr>
          <w:lang w:val="en-US"/>
        </w:rPr>
        <w:t xml:space="preserve"> G., Kim S. Increased carry distance and X-factor stretch in golf through an external focus of attention //Journal of Motor Learning and Development. – 2013. – </w:t>
      </w:r>
      <w:r w:rsidRPr="00991EA0">
        <w:t>Т</w:t>
      </w:r>
      <w:r w:rsidRPr="00991EA0">
        <w:rPr>
          <w:lang w:val="en-US"/>
        </w:rPr>
        <w:t xml:space="preserve">. 1. – №. 1. – </w:t>
      </w:r>
      <w:r w:rsidRPr="00991EA0">
        <w:t>С</w:t>
      </w:r>
      <w:r w:rsidRPr="00991EA0">
        <w:rPr>
          <w:lang w:val="en-US"/>
        </w:rPr>
        <w:t xml:space="preserve">. 2-11. </w:t>
      </w:r>
      <w:hyperlink r:id="rId3" w:history="1">
        <w:r w:rsidRPr="0054321A">
          <w:rPr>
            <w:rStyle w:val="a7"/>
            <w:lang w:val="en-US"/>
          </w:rPr>
          <w:t>https://gwulf.faculty.unlv.edu/wp-content/uploads/2014/05/An-Wulf-Kim-2013.pdf</w:t>
        </w:r>
      </w:hyperlink>
      <w:r w:rsidRPr="00991EA0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578AB"/>
    <w:multiLevelType w:val="hybridMultilevel"/>
    <w:tmpl w:val="88D260E4"/>
    <w:lvl w:ilvl="0" w:tplc="A31C0F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C46674B"/>
    <w:multiLevelType w:val="hybridMultilevel"/>
    <w:tmpl w:val="F8B83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BC"/>
    <w:rsid w:val="0000418E"/>
    <w:rsid w:val="00017A54"/>
    <w:rsid w:val="0006067D"/>
    <w:rsid w:val="000754FB"/>
    <w:rsid w:val="001204A7"/>
    <w:rsid w:val="00191803"/>
    <w:rsid w:val="00200015"/>
    <w:rsid w:val="00205BE3"/>
    <w:rsid w:val="002A15FA"/>
    <w:rsid w:val="002C46F0"/>
    <w:rsid w:val="00466FC5"/>
    <w:rsid w:val="0049133C"/>
    <w:rsid w:val="005C7BA3"/>
    <w:rsid w:val="005D1287"/>
    <w:rsid w:val="005E34F4"/>
    <w:rsid w:val="00646097"/>
    <w:rsid w:val="008476C0"/>
    <w:rsid w:val="008905E8"/>
    <w:rsid w:val="00983526"/>
    <w:rsid w:val="00984BF0"/>
    <w:rsid w:val="00991EA0"/>
    <w:rsid w:val="009A492C"/>
    <w:rsid w:val="009B10E1"/>
    <w:rsid w:val="009C3292"/>
    <w:rsid w:val="00A27C69"/>
    <w:rsid w:val="00A45876"/>
    <w:rsid w:val="00A5358B"/>
    <w:rsid w:val="00AD7DBC"/>
    <w:rsid w:val="00AF0F8E"/>
    <w:rsid w:val="00B02282"/>
    <w:rsid w:val="00B1235C"/>
    <w:rsid w:val="00B913AD"/>
    <w:rsid w:val="00C67E54"/>
    <w:rsid w:val="00D0422C"/>
    <w:rsid w:val="00D20323"/>
    <w:rsid w:val="00E45422"/>
    <w:rsid w:val="00E7126D"/>
    <w:rsid w:val="00F222CD"/>
    <w:rsid w:val="00F438D6"/>
    <w:rsid w:val="00F63375"/>
    <w:rsid w:val="00F91BFF"/>
    <w:rsid w:val="00FD33D0"/>
    <w:rsid w:val="00FF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5C982"/>
  <w15:chartTrackingRefBased/>
  <w15:docId w15:val="{87E8590C-4C90-41C6-911E-4E4A4CBF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00418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0418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0418E"/>
    <w:rPr>
      <w:vertAlign w:val="superscript"/>
    </w:rPr>
  </w:style>
  <w:style w:type="character" w:styleId="a7">
    <w:name w:val="Hyperlink"/>
    <w:basedOn w:val="a0"/>
    <w:uiPriority w:val="99"/>
    <w:unhideWhenUsed/>
    <w:rsid w:val="0000418E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F6337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wulf.faculty.unlv.edu/wp-content/uploads/2014/05/An-Wulf-Kim-2013.pdf" TargetMode="External"/><Relationship Id="rId2" Type="http://schemas.openxmlformats.org/officeDocument/2006/relationships/hyperlink" Target="https://github.com/vn322/Netology_DS_course/blob/main/%D0%91%D0%B8%D0%BE%D0%BC%D0%B5%D1%85%D0%B0%D0%BD%D0%B8%D1%87%D0%B5%D1%81%D0%BA%D0%B8%D0%B9_%D0%B0%D0%BD%D0%B0%D0%BB%D0%B8%D0%B7_%D0%B2%D1%8B%D0%BF%D0%BE%D0%BB%D0%BD%D0%B5%D0%BD%D0%B8%D1%8F_%D0%BF%D1%80%D0%B8%D1%91%D0%BC%D0%B0_%D0%A3%D1%87%D0%B8_%D0%9C%D0%B0%D1%82%D0%B0_%D0%B2_%D0%B4%D0%B7%D1%8E%D0%B4%D0%BE.ipynb" TargetMode="External"/><Relationship Id="rId1" Type="http://schemas.openxmlformats.org/officeDocument/2006/relationships/hyperlink" Target="https://github.com/vn322/Sport-University/blob/main/ACADEM_pose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FC2BF-9097-4B13-8E92-40A8888C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7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7</cp:revision>
  <dcterms:created xsi:type="dcterms:W3CDTF">2023-03-12T15:34:00Z</dcterms:created>
  <dcterms:modified xsi:type="dcterms:W3CDTF">2023-03-17T07:28:00Z</dcterms:modified>
</cp:coreProperties>
</file>