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Vinoth Nageshwaran</w:t>
      </w:r>
      <w:r>
        <w:t xml:space="preserve"> </w:t>
      </w:r>
      <w:r>
        <w:t xml:space="preserve">University of the Cumberlands, Williamsburg, KY, USA</w:t>
      </w:r>
      <w:r>
        <w:t xml:space="preserve"> </w:t>
      </w:r>
      <w:r>
        <w:t xml:space="preserve">vnageshwaran41452@ucumberlands.edu</w:t>
      </w:r>
    </w:p>
    <w:p>
      <w:pPr>
        <w:pStyle w:val="BodyText"/>
      </w:pPr>
      <w:r>
        <w:t xml:space="preserve">4 September 2026</w:t>
      </w:r>
    </w:p>
    <w:p>
      <w:pPr>
        <w:pStyle w:val="BodyText"/>
      </w:pPr>
      <w:r>
        <w:t xml:space="preserve">Editor-in-Chief</w:t>
      </w:r>
      <w:r>
        <w:t xml:space="preserve"> </w:t>
      </w:r>
      <w:r>
        <w:t xml:space="preserve">Clean Technologies and Environmental Policy</w:t>
      </w:r>
    </w:p>
    <w:p>
      <w:pPr>
        <w:pStyle w:val="BodyText"/>
      </w:pPr>
      <w:r>
        <w:t xml:space="preserve">Dear Editor,</w:t>
      </w:r>
    </w:p>
    <w:p>
      <w:pPr>
        <w:pStyle w:val="BodyText"/>
      </w:pPr>
      <w:r>
        <w:t xml:space="preserve">Please consider our manuscript,</w:t>
      </w:r>
      <w:r>
        <w:t xml:space="preserve"> </w:t>
      </w:r>
      <w:r>
        <w:t xml:space="preserve">“</w:t>
      </w:r>
      <w:r>
        <w:t xml:space="preserve">From Property Prediction to Clean-Technology Deployment: A Systematic Review and Roadmap for Trustworthy AI in Low-Carbon Geopolymer Development,</w:t>
      </w:r>
      <w:r>
        <w:t xml:space="preserve">”</w:t>
      </w:r>
      <w:r>
        <w:t xml:space="preserve"> </w:t>
      </w:r>
      <w:r>
        <w:t xml:space="preserve">for publication as a review article in Clean Technologies and Environmental Policy.</w:t>
      </w:r>
    </w:p>
    <w:p>
      <w:pPr>
        <w:pStyle w:val="BodyText"/>
      </w:pPr>
      <w:r>
        <w:t xml:space="preserve">Geopolymers are among the most credible low-carbon alternatives to Portland cement, and a rapidly growing literature claims that artificial intelligence accelerates their development. Our manuscript is, to our knowledge, the first systematic review to audit that claim rather than catalogue it. Following PRISMA 2020, we assembled the largest corpus yet analyzed at this intersection — 677 unique primary studies (2013–2026), 71% postdating the closest prior review — and subjected it to instruments the field has not previously had: an eight-dimension trustworthy-AI scorecard, a claimed-versus-verified audit of physics-integration claims, and an evidentiary ladder for environmental claims running from rhetoric to ISO-consistent life-cycle assessment.</w:t>
      </w:r>
    </w:p>
    <w:p>
      <w:pPr>
        <w:pStyle w:val="BodyText"/>
      </w:pPr>
      <w:r>
        <w:t xml:space="preserve">The findings speak directly to this journal’s remit. The field can predict geopolymer properties (95.7% of the corpus does prediction or optimization) but has barely begun to certify, assess, or deploy: calibration appears in 1.3% of studies, external validation in 4.0%, and — for a literature framed almost universally around sustainability — 44.8% of studies quantify no environmental variable at all, with ISO-grade life-cycle assessment at roughly 0.3%. Half of the field’s physics-informed claims deflate under audit. From these gaps we derive nine research gaps with explicit acceptance criteria and a staged clean-technology roadmap whose deployment and governance track is aimed at the policy readership of this journal.</w:t>
      </w:r>
    </w:p>
    <w:p>
      <w:pPr>
        <w:pStyle w:val="BodyText"/>
      </w:pPr>
      <w:r>
        <w:t xml:space="preserve">Three aspects of the manuscript’s evidentiary practice may be of particular interest. First, every quantitative claim traces to a released, DOI-archived research artifact (Zenodo, doi:10.5281/zenodo.22319864) that gives reviewers per-record access without any request step. Second, coding reliability is verified by two independent blind recodes of a 70-study sample — one by a co-author, one procedural — with per-axis agreement reported in full (Supplementary Table S9), and criterion-sensitive figures are stated as bounds rather than point claims. Third, we disclose proactively that our own quality controls caught what they were designed to catch: a post-freeze duplicate audit identified 52 duplicate reports inside the initially frozen corpus — the same failure mode our review criticizes in the field’s compiled databases — and all statistics were recomputed on the deduplicated corpus before submission, with the audit trail released. We believe a review that asks a field to verify its claims must hold itself to that standard visibly, and we have tried to do so.</w:t>
      </w:r>
    </w:p>
    <w:p>
      <w:pPr>
        <w:pStyle w:val="BodyText"/>
      </w:pPr>
      <w:r>
        <w:t>The manuscript is approximately 15,000 words with 8 figures and 7 tables; supplementary materials and the archived artifact accompany it. All authors have approved the submission, contributions and competing interests are declared in the Statements and Declarations section. The manuscript is not under consideration elsewhere.</w:t>
      </w:r>
    </w:p>
    <w:p>
      <w:pPr>
        <w:pStyle w:val="BodyText"/>
      </w:pPr>
      <w:r>
        <w:t xml:space="preserve">Suggested reviewers can be provided on request; given the manuscript’s intersection, we would suggest expertise spanning alkali-activated materials, machine learning evaluation, and industrial-ecology/LCA.</w:t>
      </w:r>
    </w:p>
    <w:p>
      <w:pPr>
        <w:pStyle w:val="BodyText"/>
      </w:pPr>
      <w:r>
        <w:t xml:space="preserve">Thank you for your consideration.</w:t>
      </w:r>
    </w:p>
    <w:p>
      <w:pPr>
        <w:pStyle w:val="BodyText"/>
      </w:pPr>
      <w:r>
        <w:t xml:space="preserve">Sincerely,</w:t>
      </w:r>
    </w:p>
    <w:p>
      <w:pPr>
        <w:pStyle w:val="BodyText"/>
      </w:pPr>
      <w:r>
        <w:t xml:space="preserve">Vinoth Nageshwaran (corresponding author)</w:t>
      </w:r>
      <w:r>
        <w:t xml:space="preserve"> </w:t>
      </w:r>
      <w:r>
        <w:t xml:space="preserve">on behalf of Pooja Bhardwaj (Chaggar) and Sudhir S. Amritphale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after="160" w:line="480" w:lineRule="auto"/>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imes New Roman" w:hAnsi="Times New Roman"/>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2026-09-05T04:24:03Z</dcterms:created>
  <dcterms:modified xsi:type="dcterms:W3CDTF">2026-09-05T04:24:03Z</dcterms:modified>
</cp:coreProperties>
</file>