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supplementary-materials"/>
      <w:r>
        <w:t xml:space="preserve">Supplementary Materials</w:t>
      </w:r>
      <w:bookmarkEnd w:id="20"/>
    </w:p>
    <w:p>
      <w:pPr>
        <w:pStyle w:val="FirstParagraph"/>
      </w:pPr>
      <w:r>
        <w:rPr>
          <w:i/>
        </w:rPr>
        <w:t xml:space="preserve">From Property Prediction to Clean-Technology Deployment: A Systematic Review and Roadmap for Trustworthy AI in Low-Carbon Geopolymer Development</w:t>
      </w:r>
      <w:r>
        <w:t xml:space="preserve"> </w:t>
      </w:r>
      <w:r>
        <w:t xml:space="preserve">— Nageshwaran, Bhardwaj (Chaggar), Amritphale</w:t>
      </w:r>
    </w:p>
    <w:p>
      <w:pPr>
        <w:pStyle w:val="BodyText"/>
      </w:pPr>
      <w:r>
        <w:t xml:space="preserve">Machine-readable versions of every table below, plus the full coded corpus, are in the archived research artifact (Zenodo v1.1, https://doi.org/10.5281/zenodo.22319864).</w:t>
      </w:r>
    </w:p>
    <w:p>
      <w:pPr>
        <w:pStyle w:val="Heading2"/>
      </w:pPr>
      <w:bookmarkStart w:id="21" w:name="Xd01b482af93740cf14b82da6d997921850c20ea"/>
      <w:r>
        <w:t xml:space="preserve">Supplementary Table S1 — PRISMA arithmetic reconciliation</w:t>
      </w:r>
      <w:bookmarkEnd w:id="21"/>
    </w:p>
    <w:p>
      <w:pPr>
        <w:pStyle w:val="FirstParagraph"/>
      </w:pPr>
      <w:r>
        <w:t xml:space="preserve">Every count is derivable from the released ledgers (</w:t>
      </w:r>
      <w:r>
        <w:rPr>
          <w:rStyle w:val="VerbatimChar"/>
        </w:rPr>
        <w:t xml:space="preserve">corpus_master.csv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corpus_fallback_only.csv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corpus_screening.csv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extraction_master.csv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duplicate_audit.csv</w:t>
      </w:r>
      <w:r>
        <w:t xml:space="preserve">).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Derivation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Records identified (databases)</w:t>
            </w:r>
          </w:p>
        </w:tc>
        <w:tc>
          <w:p>
            <w:pPr>
              <w:pStyle w:val="Compact"/>
              <w:jc w:val="left"/>
            </w:pPr>
            <w:r>
              <w:t xml:space="preserve">1,214</w:t>
            </w:r>
          </w:p>
        </w:tc>
        <w:tc>
          <w:p>
            <w:pPr>
              <w:pStyle w:val="Compact"/>
              <w:jc w:val="left"/>
            </w:pPr>
            <w:r>
              <w:t xml:space="preserve">Scopus Family A 774 + ScienceDirect 320 + Crossref 100 + SpringerLink 20 (per-source counts post internal dedup)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IEEE Xplore, excluded at source</w:t>
            </w:r>
          </w:p>
        </w:tc>
        <w:tc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p>
            <w:pPr>
              <w:pStyle w:val="Compact"/>
              <w:jc w:val="left"/>
            </w:pPr>
            <w:r>
              <w:t xml:space="preserve">all conference papers (EC4)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Duplicate records removed before screening</w:t>
            </w:r>
          </w:p>
        </w:tc>
        <w:tc>
          <w:p>
            <w:pPr>
              <w:pStyle w:val="Compact"/>
              <w:jc w:val="left"/>
            </w:pPr>
            <w:r>
              <w:t xml:space="preserve">320</w:t>
            </w:r>
          </w:p>
        </w:tc>
        <w:tc>
          <w:p>
            <w:pPr>
              <w:pStyle w:val="Compact"/>
              <w:jc w:val="left"/>
            </w:pPr>
            <w:r>
              <w:t xml:space="preserve">supplementary-source records matched to Scopus by DOI/normalized title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Unique records screened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894</w:t>
            </w:r>
          </w:p>
        </w:tc>
        <w:tc>
          <w:p>
            <w:pPr>
              <w:pStyle w:val="Compact"/>
              <w:jc w:val="left"/>
            </w:pPr>
            <w:r>
              <w:t xml:space="preserve">774 Scopus + 120 supplementary-only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Removed at title–abstract</w:t>
            </w:r>
          </w:p>
        </w:tc>
        <w:tc>
          <w:p>
            <w:pPr>
              <w:pStyle w:val="Compact"/>
              <w:jc w:val="left"/>
            </w:pPr>
            <w:r>
              <w:t xml:space="preserve">70</w:t>
            </w:r>
          </w:p>
        </w:tc>
        <w:tc>
          <w:p>
            <w:pPr>
              <w:pStyle w:val="Compact"/>
              <w:jc w:val="left"/>
            </w:pPr>
            <w:r>
              <w:t xml:space="preserve">3 duplicates found during screening + EC1: 4 + EC2: 15 + EC4: 14 + EC5: 31 + EC7 venue-quality: 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Retained after title–abstract</w:t>
            </w:r>
          </w:p>
        </w:tc>
        <w:tc>
          <w:p>
            <w:pPr>
              <w:pStyle w:val="Compact"/>
              <w:jc w:val="left"/>
            </w:pPr>
            <w:r>
              <w:t xml:space="preserve">824</w:t>
            </w:r>
          </w:p>
        </w:tc>
        <w:tc>
          <w:p>
            <w:pPr>
              <w:pStyle w:val="Compact"/>
              <w:jc w:val="left"/>
            </w:pPr>
            <w:r>
              <w:t xml:space="preserve">894 − 70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Routed to Context Corpus</w:t>
            </w:r>
          </w:p>
        </w:tc>
        <w:tc>
          <w:p>
            <w:pPr>
              <w:pStyle w:val="Compact"/>
              <w:jc w:val="left"/>
            </w:pPr>
            <w:r>
              <w:t xml:space="preserve">58</w:t>
            </w:r>
          </w:p>
        </w:tc>
        <w:tc>
          <w:p>
            <w:pPr>
              <w:pStyle w:val="Compact"/>
              <w:jc w:val="left"/>
            </w:pPr>
            <w:r>
              <w:t xml:space="preserve">reviews and adjacent evidence (not in synthesis counts)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 eligibility</w:t>
            </w:r>
          </w:p>
        </w:tc>
        <w:tc>
          <w:p>
            <w:pPr>
              <w:pStyle w:val="Compact"/>
              <w:jc w:val="left"/>
            </w:pPr>
            <w:r>
              <w:t xml:space="preserve">766</w:t>
            </w:r>
          </w:p>
        </w:tc>
        <w:tc>
          <w:p>
            <w:pPr>
              <w:pStyle w:val="Compact"/>
              <w:jc w:val="left"/>
            </w:pPr>
            <w:r>
              <w:t xml:space="preserve">824 − 58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Full-text eligibility decisions</w:t>
            </w:r>
          </w:p>
        </w:tc>
        <w:tc>
          <w:p>
            <w:pPr>
              <w:pStyle w:val="Compact"/>
              <w:jc w:val="left"/>
            </w:pPr>
            <w:r>
              <w:t xml:space="preserve">49</w:t>
            </w:r>
          </w:p>
        </w:tc>
        <w:tc>
          <w:p>
            <w:pPr>
              <w:pStyle w:val="Compact"/>
              <w:jc w:val="left"/>
            </w:pPr>
            <w:r>
              <w:t xml:space="preserve">12 included + 37 excluded (EC2: 6, EC3: 28, EC7: 3)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Records included (Core Corpus, frozen 21 Aug 2026)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729</w:t>
            </w:r>
          </w:p>
        </w:tc>
        <w:tc>
          <w:p>
            <w:pPr>
              <w:pStyle w:val="Compact"/>
              <w:jc w:val="left"/>
            </w:pPr>
            <w:r>
              <w:t xml:space="preserve">766 − 37 (= 717 direct + 12 full-text inclusions)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Duplicate reports identified in synthesis audit</w:t>
            </w:r>
          </w:p>
        </w:tc>
        <w:tc>
          <w:p>
            <w:pPr>
              <w:pStyle w:val="Compact"/>
              <w:jc w:val="left"/>
            </w:pPr>
            <w:r>
              <w:t xml:space="preserve">52</w:t>
            </w:r>
          </w:p>
        </w:tc>
        <w:tc>
          <w:p>
            <w:pPr>
              <w:pStyle w:val="Compact"/>
              <w:jc w:val="left"/>
            </w:pPr>
            <w:r>
              <w:t xml:space="preserve">flagged in</w:t>
            </w:r>
            <w:r>
              <w:t xml:space="preserve"> </w:t>
            </w:r>
            <w:r>
              <w:rPr>
                <w:rStyle w:val="VerbatimChar"/>
              </w:rPr>
              <w:t xml:space="preserve">extraction_master.csv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duplicate_of</w:t>
            </w:r>
            <w:r>
              <w:t xml:space="preserve">); evidence in</w:t>
            </w:r>
            <w:r>
              <w:t xml:space="preserve"> </w:t>
            </w:r>
            <w:r>
              <w:rPr>
                <w:rStyle w:val="VerbatimChar"/>
              </w:rPr>
              <w:t xml:space="preserve">duplicate_audit.csv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Unique primary studies (analysis set)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677</w:t>
            </w:r>
          </w:p>
        </w:tc>
        <w:tc>
          <w:p>
            <w:pPr>
              <w:pStyle w:val="Compact"/>
              <w:jc w:val="left"/>
            </w:pPr>
            <w:r>
              <w:t xml:space="preserve">729 − 52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Total exclusions (both stages)</w:t>
            </w:r>
          </w:p>
        </w:tc>
        <w:tc>
          <w:p>
            <w:pPr>
              <w:pStyle w:val="Compact"/>
              <w:jc w:val="left"/>
            </w:pPr>
            <w:r>
              <w:t xml:space="preserve">104</w:t>
            </w:r>
          </w:p>
        </w:tc>
        <w:tc>
          <w:p>
            <w:pPr>
              <w:pStyle w:val="Compact"/>
              <w:jc w:val="left"/>
            </w:pPr>
            <w:r>
              <w:t xml:space="preserve">EC1 4 · EC2 21 · EC3 28 · EC4 14 · EC5 31 · EC7 6</w:t>
            </w:r>
          </w:p>
        </w:tc>
      </w:tr>
    </w:tbl>
    <w:p>
      <w:pPr>
        <w:pStyle w:val="BodyText"/>
      </w:pPr>
      <w:r>
        <w:t xml:space="preserve">Identity checks: 894 − 70 − 58 − 37 = 729; 3 + 104 + 58 + 729 = 894; 729 − 52 = 677.</w:t>
      </w:r>
    </w:p>
    <w:p>
      <w:pPr>
        <w:pStyle w:val="BodyText"/>
      </w:pPr>
      <w:r>
        <w:t xml:space="preserve">Query families B–F (Scopus; 403 / 42 / 123 / 367 / 180 records) served as coverage checks: their eligible hits were verified subsumed by Family A plus the supplementary arms, contributing zero unique records; Family F additionally functions as the dedicated search arm behind the digital-twin and autonomy zero-claims (§13–14).</w:t>
      </w:r>
    </w:p>
    <w:p>
      <w:pPr>
        <w:pStyle w:val="Heading2"/>
      </w:pPr>
      <w:bookmarkStart w:id="22" w:name="X709238226a24b364d3558bc606c29c79366696b"/>
      <w:r>
        <w:t xml:space="preserve">Supplementary Table S8 — Wilson 95% confidence intervals for reported proportions</w:t>
      </w:r>
      <w:bookmarkEnd w:id="22"/>
    </w:p>
    <w:p>
      <w:pPr>
        <w:pStyle w:val="FirstParagraph"/>
      </w:pPr>
      <w:r>
        <w:t xml:space="preserve">Unique-study denominator n = 677 unless stated. Convention: Wilson score intervals; percentages to one decimal when numerator ≥ 10.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Quantity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k/n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% [95% CI]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Prediction (primary task label)</w:t>
            </w:r>
          </w:p>
        </w:tc>
        <w:tc>
          <w:p>
            <w:pPr>
              <w:pStyle w:val="Compact"/>
              <w:jc w:val="left"/>
            </w:pPr>
            <w:r>
              <w:t xml:space="preserve">418/677</w:t>
            </w:r>
          </w:p>
        </w:tc>
        <w:tc>
          <w:p>
            <w:pPr>
              <w:pStyle w:val="Compact"/>
              <w:jc w:val="left"/>
            </w:pPr>
            <w:r>
              <w:t xml:space="preserve">61.7 [58.0–65.3]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Optimization + inverse design (label)</w:t>
            </w:r>
          </w:p>
        </w:tc>
        <w:tc>
          <w:p>
            <w:pPr>
              <w:pStyle w:val="Compact"/>
              <w:jc w:val="left"/>
            </w:pPr>
            <w:r>
              <w:t xml:space="preserve">230/677</w:t>
            </w:r>
          </w:p>
        </w:tc>
        <w:tc>
          <w:p>
            <w:pPr>
              <w:pStyle w:val="Compact"/>
              <w:jc w:val="left"/>
            </w:pPr>
            <w:r>
              <w:t xml:space="preserve">34.0 [30.5–37.6]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Prediction or optimization</w:t>
            </w:r>
          </w:p>
        </w:tc>
        <w:tc>
          <w:p>
            <w:pPr>
              <w:pStyle w:val="Compact"/>
              <w:jc w:val="left"/>
            </w:pPr>
            <w:r>
              <w:t xml:space="preserve">648/677</w:t>
            </w:r>
          </w:p>
        </w:tc>
        <w:tc>
          <w:p>
            <w:pPr>
              <w:pStyle w:val="Compact"/>
              <w:jc w:val="left"/>
            </w:pPr>
            <w:r>
              <w:t xml:space="preserve">95.7 [93.9–97.0]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Adaptive experiment selection</w:t>
            </w:r>
          </w:p>
        </w:tc>
        <w:tc>
          <w:p>
            <w:pPr>
              <w:pStyle w:val="Compact"/>
              <w:jc w:val="left"/>
            </w:pPr>
            <w:r>
              <w:t xml:space="preserve">3/677</w:t>
            </w:r>
          </w:p>
        </w:tc>
        <w:tc>
          <w:p>
            <w:pPr>
              <w:pStyle w:val="Compact"/>
              <w:jc w:val="left"/>
            </w:pPr>
            <w:r>
              <w:t xml:space="preserve">0.4 [0.2–1.3]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 detectable trust practice</w:t>
            </w:r>
          </w:p>
        </w:tc>
        <w:tc>
          <w:p>
            <w:pPr>
              <w:pStyle w:val="Compact"/>
              <w:jc w:val="left"/>
            </w:pPr>
            <w:r>
              <w:t xml:space="preserve">407/677</w:t>
            </w:r>
          </w:p>
        </w:tc>
        <w:tc>
          <w:p>
            <w:pPr>
              <w:pStyle w:val="Compact"/>
              <w:jc w:val="left"/>
            </w:pPr>
            <w:r>
              <w:t xml:space="preserve">60.1 [56.4–63.7]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Explainability</w:t>
            </w:r>
          </w:p>
        </w:tc>
        <w:tc>
          <w:p>
            <w:pPr>
              <w:pStyle w:val="Compact"/>
              <w:jc w:val="left"/>
            </w:pPr>
            <w:r>
              <w:t xml:space="preserve">197/677</w:t>
            </w:r>
          </w:p>
        </w:tc>
        <w:tc>
          <w:p>
            <w:pPr>
              <w:pStyle w:val="Compact"/>
              <w:jc w:val="left"/>
            </w:pPr>
            <w:r>
              <w:t xml:space="preserve">29.1 [25.8–32.6]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Uncertainty quantification</w:t>
            </w:r>
          </w:p>
        </w:tc>
        <w:tc>
          <w:p>
            <w:pPr>
              <w:pStyle w:val="Compact"/>
              <w:jc w:val="left"/>
            </w:pPr>
            <w:r>
              <w:t xml:space="preserve">42/677</w:t>
            </w:r>
          </w:p>
        </w:tc>
        <w:tc>
          <w:p>
            <w:pPr>
              <w:pStyle w:val="Compact"/>
              <w:jc w:val="left"/>
            </w:pPr>
            <w:r>
              <w:t xml:space="preserve">6.2 [4.6–8.3]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Calibration evaluated</w:t>
            </w:r>
          </w:p>
        </w:tc>
        <w:tc>
          <w:p>
            <w:pPr>
              <w:pStyle w:val="Compact"/>
              <w:jc w:val="left"/>
            </w:pPr>
            <w:r>
              <w:t xml:space="preserve">9/677</w:t>
            </w:r>
          </w:p>
        </w:tc>
        <w:tc>
          <w:p>
            <w:pPr>
              <w:pStyle w:val="Compact"/>
              <w:jc w:val="left"/>
            </w:pPr>
            <w:r>
              <w:t xml:space="preserve">1.3 [0.7–2.5]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External validation</w:t>
            </w:r>
          </w:p>
        </w:tc>
        <w:tc>
          <w:p>
            <w:pPr>
              <w:pStyle w:val="Compact"/>
              <w:jc w:val="left"/>
            </w:pPr>
            <w:r>
              <w:t xml:space="preserve">27/677</w:t>
            </w:r>
          </w:p>
        </w:tc>
        <w:tc>
          <w:p>
            <w:pPr>
              <w:pStyle w:val="Compact"/>
              <w:jc w:val="left"/>
            </w:pPr>
            <w:r>
              <w:t xml:space="preserve">4.0 [2.8–5.7]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OOD / transfer evaluation</w:t>
            </w:r>
          </w:p>
        </w:tc>
        <w:tc>
          <w:p>
            <w:pPr>
              <w:pStyle w:val="Compact"/>
              <w:jc w:val="left"/>
            </w:pPr>
            <w:r>
              <w:t xml:space="preserve">58/677</w:t>
            </w:r>
          </w:p>
        </w:tc>
        <w:tc>
          <w:p>
            <w:pPr>
              <w:pStyle w:val="Compact"/>
              <w:jc w:val="left"/>
            </w:pPr>
            <w:r>
              <w:t xml:space="preserve">8.6 [6.7–10.9]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Reproducibility signal</w:t>
            </w:r>
          </w:p>
        </w:tc>
        <w:tc>
          <w:p>
            <w:pPr>
              <w:pStyle w:val="Compact"/>
              <w:jc w:val="left"/>
            </w:pPr>
            <w:r>
              <w:t xml:space="preserve">7/677</w:t>
            </w:r>
          </w:p>
        </w:tc>
        <w:tc>
          <w:p>
            <w:pPr>
              <w:pStyle w:val="Compact"/>
              <w:jc w:val="left"/>
            </w:pPr>
            <w:r>
              <w:t xml:space="preserve">1.0 [0.5–2.1]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Physics Type I</w:t>
            </w:r>
          </w:p>
        </w:tc>
        <w:tc>
          <w:p>
            <w:pPr>
              <w:pStyle w:val="Compact"/>
              <w:jc w:val="left"/>
            </w:pPr>
            <w:r>
              <w:t xml:space="preserve">528/677</w:t>
            </w:r>
          </w:p>
        </w:tc>
        <w:tc>
          <w:p>
            <w:pPr>
              <w:pStyle w:val="Compact"/>
              <w:jc w:val="left"/>
            </w:pPr>
            <w:r>
              <w:t xml:space="preserve">78.0 [74.7–80.9]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Physics Type II</w:t>
            </w:r>
          </w:p>
        </w:tc>
        <w:tc>
          <w:p>
            <w:pPr>
              <w:pStyle w:val="Compact"/>
              <w:jc w:val="left"/>
            </w:pPr>
            <w:r>
              <w:t xml:space="preserve">122/677</w:t>
            </w:r>
          </w:p>
        </w:tc>
        <w:tc>
          <w:p>
            <w:pPr>
              <w:pStyle w:val="Compact"/>
              <w:jc w:val="left"/>
            </w:pPr>
            <w:r>
              <w:t xml:space="preserve">18.0 [15.3–21.1]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Types I–II by demonstrated content (incl. deflated claims)</w:t>
            </w:r>
          </w:p>
        </w:tc>
        <w:tc>
          <w:p>
            <w:pPr>
              <w:pStyle w:val="Compact"/>
              <w:jc w:val="left"/>
            </w:pPr>
            <w:r>
              <w:t xml:space="preserve">664/677</w:t>
            </w:r>
          </w:p>
        </w:tc>
        <w:tc>
          <w:p>
            <w:pPr>
              <w:pStyle w:val="Compact"/>
              <w:jc w:val="left"/>
            </w:pPr>
            <w:r>
              <w:t xml:space="preserve">98.1 [96.7–98.9]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Verified Type III+ frontier</w:t>
            </w:r>
          </w:p>
        </w:tc>
        <w:tc>
          <w:p>
            <w:pPr>
              <w:pStyle w:val="Compact"/>
              <w:jc w:val="left"/>
            </w:pPr>
            <w:r>
              <w:t xml:space="preserve">9/677</w:t>
            </w:r>
          </w:p>
        </w:tc>
        <w:tc>
          <w:p>
            <w:pPr>
              <w:pStyle w:val="Compact"/>
              <w:jc w:val="left"/>
            </w:pPr>
            <w:r>
              <w:t xml:space="preserve">1.3 [0.7–2.5]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Physics claims deflated</w:t>
            </w:r>
          </w:p>
        </w:tc>
        <w:tc>
          <w:p>
            <w:pPr>
              <w:pStyle w:val="Compact"/>
              <w:jc w:val="left"/>
            </w:pPr>
            <w:r>
              <w:t xml:space="preserve">14/27</w:t>
            </w:r>
          </w:p>
        </w:tc>
        <w:tc>
          <w:p>
            <w:pPr>
              <w:pStyle w:val="Compact"/>
              <w:jc w:val="left"/>
            </w:pPr>
            <w:r>
              <w:t xml:space="preserve">51.9 [34.0–69.3]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 environmental variable quantified</w:t>
            </w:r>
          </w:p>
        </w:tc>
        <w:tc>
          <w:p>
            <w:pPr>
              <w:pStyle w:val="Compact"/>
              <w:jc w:val="left"/>
            </w:pPr>
            <w:r>
              <w:t xml:space="preserve">303/677</w:t>
            </w:r>
          </w:p>
        </w:tc>
        <w:tc>
          <w:p>
            <w:pPr>
              <w:pStyle w:val="Compact"/>
              <w:jc w:val="left"/>
            </w:pPr>
            <w:r>
              <w:t xml:space="preserve">44.8 [41.1–48.5]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ISO/boundary-explicit LCA</w:t>
            </w:r>
          </w:p>
        </w:tc>
        <w:tc>
          <w:p>
            <w:pPr>
              <w:pStyle w:val="Compact"/>
              <w:jc w:val="left"/>
            </w:pPr>
            <w:r>
              <w:t xml:space="preserve">2/677</w:t>
            </w:r>
          </w:p>
        </w:tc>
        <w:tc>
          <w:p>
            <w:pPr>
              <w:pStyle w:val="Compact"/>
              <w:jc w:val="left"/>
            </w:pPr>
            <w:r>
              <w:t xml:space="preserve">0.3 [0.1–1.1]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ISO/boundary-explicit LCA (engaged subset)</w:t>
            </w:r>
          </w:p>
        </w:tc>
        <w:tc>
          <w:p>
            <w:pPr>
              <w:pStyle w:val="Compact"/>
              <w:jc w:val="left"/>
            </w:pPr>
            <w:r>
              <w:t xml:space="preserve">2/76</w:t>
            </w:r>
          </w:p>
        </w:tc>
        <w:tc>
          <w:p>
            <w:pPr>
              <w:pStyle w:val="Compact"/>
              <w:jc w:val="left"/>
            </w:pPr>
            <w:r>
              <w:t xml:space="preserve">2.6 [0.7–9.1]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Carbon inside optimization objective (audit subset)</w:t>
            </w:r>
          </w:p>
        </w:tc>
        <w:tc>
          <w:p>
            <w:pPr>
              <w:pStyle w:val="Compact"/>
              <w:jc w:val="left"/>
            </w:pPr>
            <w:r>
              <w:t xml:space="preserve">25/76</w:t>
            </w:r>
          </w:p>
        </w:tc>
        <w:tc>
          <w:p>
            <w:pPr>
              <w:pStyle w:val="Compact"/>
              <w:jc w:val="left"/>
            </w:pPr>
            <w:r>
              <w:t xml:space="preserve">32.9 [23.4–44.1]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Published since Jan 2024</w:t>
            </w:r>
          </w:p>
        </w:tc>
        <w:tc>
          <w:p>
            <w:pPr>
              <w:pStyle w:val="Compact"/>
              <w:jc w:val="left"/>
            </w:pPr>
            <w:r>
              <w:t xml:space="preserve">480/677</w:t>
            </w:r>
          </w:p>
        </w:tc>
        <w:tc>
          <w:p>
            <w:pPr>
              <w:pStyle w:val="Compact"/>
              <w:jc w:val="left"/>
            </w:pPr>
            <w:r>
              <w:t xml:space="preserve">70.9 [67.4–74.2]</w:t>
            </w:r>
          </w:p>
        </w:tc>
      </w:tr>
    </w:tbl>
    <w:p>
      <w:pPr>
        <w:pStyle w:val="Heading2"/>
      </w:pPr>
      <w:bookmarkStart w:id="23" w:name="X338e0eb2b435f4e561da7733e08cba862d12383"/>
      <w:r>
        <w:t xml:space="preserve">Supplementary Note S7 — SpringerLink unharvested-records sample screen</w:t>
      </w:r>
      <w:bookmarkEnd w:id="23"/>
    </w:p>
    <w:p>
      <w:pPr>
        <w:pStyle w:val="FirstParagraph"/>
      </w:pPr>
      <w:r>
        <w:t xml:space="preserve">The SpringerLink arm originally harvested the top 20 relevance-ranked records of 950 full-text matches. A random sample of 50 ranks from the unharvested remainder (seed 20260831; re-executed 31 Aug 2026, when the same query returned 978) was screened at title–abstract level: 36 records were out of material or topic scope (EC2 — full-text matching inflates the count with studies that merely cite geopolymer work), 5 were reviews, 2 had no ML method (EC3), and 7 were eligible-type geopolymer-ML studies —</w:t>
      </w:r>
      <w:r>
        <w:t xml:space="preserve"> </w:t>
      </w:r>
      <w:r>
        <w:rPr>
          <w:b/>
        </w:rPr>
        <w:t xml:space="preserve">all seven of which were already in the Core Corpus via Scopus indexing</w:t>
      </w:r>
      <w:r>
        <w:t xml:space="preserve"> </w:t>
      </w:r>
      <w:r>
        <w:t xml:space="preserve">(title match 1.00). New-eligible yield: 0/50; one-sided exact 95% upper bound 5.8% of the remainder, with the observed Scopus-subsumption mechanism indicating a true value near zero. Full log:</w:t>
      </w:r>
      <w:r>
        <w:t xml:space="preserve"> </w:t>
      </w:r>
      <w:r>
        <w:rPr>
          <w:rStyle w:val="VerbatimChar"/>
        </w:rPr>
        <w:t xml:space="preserve">stage3/springerlink_sample_screen.md</w:t>
      </w:r>
      <w:r>
        <w:t xml:space="preserve"> </w:t>
      </w:r>
      <w:r>
        <w:t xml:space="preserve">in the artifact.</w:t>
      </w:r>
    </w:p>
    <w:p>
      <w:pPr>
        <w:pStyle w:val="Heading2"/>
      </w:pPr>
      <w:bookmarkStart w:id="24" w:name="X5d9f177df8dc8b1eabb0d6f0baefc31e02a84dc"/>
      <w:r>
        <w:t xml:space="preserve">Supplementary Table S9 — Coding reliability: independent blind recodes of a 70-study sample</w:t>
      </w:r>
      <w:bookmarkEnd w:id="24"/>
    </w:p>
    <w:p>
      <w:pPr>
        <w:pStyle w:val="FirstParagraph"/>
      </w:pPr>
      <w:r>
        <w:rPr>
          <w:b/>
        </w:rPr>
        <w:t xml:space="preserve">Design.</w:t>
      </w:r>
      <w:r>
        <w:t xml:space="preserve"> </w:t>
      </w:r>
      <w:r>
        <w:t xml:space="preserve">A random, year-stratified sample of 70 unique studies (10.3% of the corpus; seed 20260831; strata 2013–2021: 8, 2022–2023: 13, 2024: 13, 2025: 18, 2026: 18) was recoded twice, independently and blind to the original codes, from title + abstract only (the original coding depth): once by a</w:t>
      </w:r>
      <w:r>
        <w:t xml:space="preserve"> </w:t>
      </w:r>
      <w:r>
        <w:rPr>
          <w:b/>
        </w:rPr>
        <w:t xml:space="preserve">human co-author</w:t>
      </w:r>
      <w:r>
        <w:t xml:space="preserve"> </w:t>
      </w:r>
      <w:r>
        <w:t>and once by an independent repeat pass of the procedure used for the original coding (a test–retest control). Neither coder saw the original codes or each other’s; worksheets, completed recodes, and the scoring script are released (</w:t>
      </w:r>
      <w:r/>
      <w:r>
        <w:rPr>
          <w:b/>
        </w:rPr>
      </w:r>
      <w:r/>
      <w:r/>
      <w:r>
        <w:rPr>
          <w:rStyle w:val="VerbatimChar"/>
        </w:rPr>
        <w:t xml:space="preserve">stage5/recode/</w:t>
      </w:r>
      <w:r>
        <w:t xml:space="preserve">). The human coder additionally declared three sampled records ineligible (excluded from agreement statistics below, n = 67).</w:t>
      </w:r>
    </w:p>
    <w:p>
      <w:pPr>
        <w:pStyle w:val="BodyText"/>
      </w:pPr>
      <w:r>
        <w:rPr>
          <w:b/>
        </w:rPr>
        <w:t xml:space="preserve">Per-axis agreement (percentage / Cohen’s κ):</w:t>
      </w:r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Axis / flag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Human ↔ Original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Procedure ↔ Original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Human ↔ Procedure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 — primary task, full label</w:t>
            </w:r>
          </w:p>
        </w:tc>
        <w:tc>
          <w:p>
            <w:pPr>
              <w:pStyle w:val="Compact"/>
              <w:jc w:val="left"/>
            </w:pPr>
            <w:r>
              <w:t xml:space="preserve">67.2% / 0.35</w:t>
            </w:r>
          </w:p>
        </w:tc>
        <w:tc>
          <w:p>
            <w:pPr>
              <w:pStyle w:val="Compact"/>
              <w:jc w:val="left"/>
            </w:pPr>
            <w:r>
              <w:t xml:space="preserve">58.6% / 0.22</w:t>
            </w:r>
          </w:p>
        </w:tc>
        <w:tc>
          <w:p>
            <w:pPr>
              <w:pStyle w:val="Compact"/>
              <w:jc w:val="left"/>
            </w:pPr>
            <w:r>
              <w:t xml:space="preserve">89.6% / 0.71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 — prediction/optimization family vs other</w:t>
            </w:r>
          </w:p>
        </w:tc>
        <w:tc>
          <w:p>
            <w:pPr>
              <w:pStyle w:val="Compact"/>
              <w:jc w:val="left"/>
            </w:pPr>
            <w:r>
              <w:t xml:space="preserve">98.5% / —*</w:t>
            </w:r>
          </w:p>
        </w:tc>
        <w:tc>
          <w:p>
            <w:pPr>
              <w:pStyle w:val="Compact"/>
              <w:jc w:val="left"/>
            </w:pPr>
            <w:r>
              <w:t xml:space="preserve">92.9% / 0.42*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 — physics type, full I–V</w:t>
            </w:r>
          </w:p>
        </w:tc>
        <w:tc>
          <w:p>
            <w:pPr>
              <w:pStyle w:val="Compact"/>
              <w:jc w:val="left"/>
            </w:pPr>
            <w:r>
              <w:t xml:space="preserve">82.1% / 0.51</w:t>
            </w:r>
          </w:p>
        </w:tc>
        <w:tc>
          <w:p>
            <w:pPr>
              <w:pStyle w:val="Compact"/>
              <w:jc w:val="left"/>
            </w:pPr>
            <w:r>
              <w:t xml:space="preserve">78.6% / 0.28</w:t>
            </w:r>
          </w:p>
        </w:tc>
        <w:tc>
          <w:p>
            <w:pPr>
              <w:pStyle w:val="Compact"/>
              <w:jc w:val="left"/>
            </w:pPr>
            <w:r>
              <w:t xml:space="preserve">91.0% / 0.77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 — Types I–II vs III+</w:t>
            </w:r>
          </w:p>
        </w:tc>
        <w:tc>
          <w:p>
            <w:pPr>
              <w:pStyle w:val="Compact"/>
              <w:jc w:val="left"/>
            </w:pPr>
            <w:r>
              <w:t xml:space="preserve">95.5% / —*</w:t>
            </w:r>
          </w:p>
        </w:tc>
        <w:tc>
          <w:p>
            <w:pPr>
              <w:pStyle w:val="Compact"/>
              <w:jc w:val="left"/>
            </w:pPr>
            <w:r>
              <w:t xml:space="preserve">97.1% / —*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 — material system (exact set / any overlap)</w:t>
            </w:r>
          </w:p>
        </w:tc>
        <w:tc>
          <w:p>
            <w:pPr>
              <w:pStyle w:val="Compact"/>
              <w:jc w:val="left"/>
            </w:pPr>
            <w:r>
              <w:t xml:space="preserve">76.1% / 89.6%</w:t>
            </w:r>
          </w:p>
        </w:tc>
        <w:tc>
          <w:p>
            <w:pPr>
              <w:pStyle w:val="Compact"/>
              <w:jc w:val="left"/>
            </w:pPr>
            <w:r>
              <w:t xml:space="preserve">77.1% / 81.4%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 — none vs any environmental function</w:t>
            </w:r>
          </w:p>
        </w:tc>
        <w:tc>
          <w:p>
            <w:pPr>
              <w:pStyle w:val="Compact"/>
              <w:jc w:val="left"/>
            </w:pPr>
            <w:r>
              <w:t xml:space="preserve">70.1% / 0.40</w:t>
            </w:r>
          </w:p>
        </w:tc>
        <w:tc>
          <w:p>
            <w:pPr>
              <w:pStyle w:val="Compact"/>
              <w:jc w:val="left"/>
            </w:pPr>
            <w:r>
              <w:t xml:space="preserve">72.9% / 0.45</w:t>
            </w:r>
          </w:p>
        </w:tc>
        <w:tc>
          <w:p>
            <w:pPr>
              <w:pStyle w:val="Compact"/>
              <w:jc w:val="left"/>
            </w:pPr>
            <w:r>
              <w:t xml:space="preserve">91.0% / 0.79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Explainability flag</w:t>
            </w:r>
          </w:p>
        </w:tc>
        <w:tc>
          <w:p>
            <w:pPr>
              <w:pStyle w:val="Compact"/>
              <w:jc w:val="left"/>
            </w:pPr>
            <w:r>
              <w:t xml:space="preserve">79.1% / 0.58</w:t>
            </w:r>
          </w:p>
        </w:tc>
        <w:tc>
          <w:p>
            <w:pPr>
              <w:pStyle w:val="Compact"/>
              <w:jc w:val="left"/>
            </w:pPr>
            <w:r>
              <w:t xml:space="preserve">87.1% / 0.67</w:t>
            </w:r>
          </w:p>
        </w:tc>
        <w:tc>
          <w:p>
            <w:pPr>
              <w:pStyle w:val="Compact"/>
              <w:jc w:val="left"/>
            </w:pPr>
            <w:r>
              <w:t xml:space="preserve">68.7% / 0.36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Uncertainty flag</w:t>
            </w:r>
          </w:p>
        </w:tc>
        <w:tc>
          <w:p>
            <w:pPr>
              <w:pStyle w:val="Compact"/>
              <w:jc w:val="left"/>
            </w:pPr>
            <w:r>
              <w:t xml:space="preserve">98.5% / 0.85</w:t>
            </w:r>
          </w:p>
        </w:tc>
        <w:tc>
          <w:p>
            <w:pPr>
              <w:pStyle w:val="Compact"/>
              <w:jc w:val="left"/>
            </w:pPr>
            <w:r>
              <w:t xml:space="preserve">97.1% / 0.74</w:t>
            </w:r>
          </w:p>
        </w:tc>
        <w:tc>
          <w:p>
            <w:pPr>
              <w:pStyle w:val="Compact"/>
              <w:jc w:val="left"/>
            </w:pPr>
            <w:r>
              <w:t xml:space="preserve">100% / 1.00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Calibration flag</w:t>
            </w:r>
          </w:p>
        </w:tc>
        <w:tc>
          <w:p>
            <w:pPr>
              <w:pStyle w:val="Compact"/>
              <w:jc w:val="left"/>
            </w:pPr>
            <w:r>
              <w:t xml:space="preserve">100% / 1.00</w:t>
            </w:r>
          </w:p>
        </w:tc>
        <w:tc>
          <w:p>
            <w:pPr>
              <w:pStyle w:val="Compact"/>
              <w:jc w:val="left"/>
            </w:pPr>
            <w:r>
              <w:t xml:space="preserve">100% / 1.00</w:t>
            </w:r>
          </w:p>
        </w:tc>
        <w:tc>
          <w:p>
            <w:pPr>
              <w:pStyle w:val="Compact"/>
              <w:jc w:val="left"/>
            </w:pPr>
            <w:r>
              <w:t xml:space="preserve">100% / 1.00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External-validation flag</w:t>
            </w:r>
          </w:p>
        </w:tc>
        <w:tc>
          <w:p>
            <w:pPr>
              <w:pStyle w:val="Compact"/>
              <w:jc w:val="left"/>
            </w:pPr>
            <w:r>
              <w:t xml:space="preserve">92.5% / 0.25*</w:t>
            </w:r>
          </w:p>
        </w:tc>
        <w:tc>
          <w:p>
            <w:pPr>
              <w:pStyle w:val="Compact"/>
              <w:jc w:val="left"/>
            </w:pPr>
            <w:r>
              <w:t xml:space="preserve">94.3% / 0.31*</w:t>
            </w:r>
          </w:p>
        </w:tc>
        <w:tc>
          <w:p>
            <w:pPr>
              <w:pStyle w:val="Compact"/>
              <w:jc w:val="left"/>
            </w:pPr>
            <w:r>
              <w:t xml:space="preserve">98.5% / 0.79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OOD/transfer flag</w:t>
            </w:r>
          </w:p>
        </w:tc>
        <w:tc>
          <w:p>
            <w:pPr>
              <w:pStyle w:val="Compact"/>
              <w:jc w:val="left"/>
            </w:pPr>
            <w:r>
              <w:t xml:space="preserve">94.0% / 0.48*</w:t>
            </w:r>
          </w:p>
        </w:tc>
        <w:tc>
          <w:p>
            <w:pPr>
              <w:pStyle w:val="Compact"/>
              <w:jc w:val="left"/>
            </w:pPr>
            <w:r>
              <w:t xml:space="preserve">92.9% / 0.27*</w:t>
            </w:r>
          </w:p>
        </w:tc>
        <w:tc>
          <w:p>
            <w:pPr>
              <w:pStyle w:val="Compact"/>
              <w:jc w:val="left"/>
            </w:pPr>
            <w:r>
              <w:t xml:space="preserve">98.5% / 0.66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Reproducibility flag</w:t>
            </w:r>
          </w:p>
        </w:tc>
        <w:tc>
          <w:p>
            <w:pPr>
              <w:pStyle w:val="Compact"/>
              <w:jc w:val="left"/>
            </w:pPr>
            <w:r>
              <w:t xml:space="preserve">100% / 1.00</w:t>
            </w:r>
          </w:p>
        </w:tc>
        <w:tc>
          <w:p>
            <w:pPr>
              <w:pStyle w:val="Compact"/>
              <w:jc w:val="left"/>
            </w:pPr>
            <w:r>
              <w:t xml:space="preserve">100% / 1.00</w:t>
            </w:r>
          </w:p>
        </w:tc>
        <w:tc>
          <w:p>
            <w:pPr>
              <w:pStyle w:val="Compact"/>
              <w:jc w:val="left"/>
            </w:pPr>
            <w:r>
              <w:t xml:space="preserve">100% / 1.00</w:t>
            </w:r>
          </w:p>
        </w:tc>
      </w:tr>
    </w:tbl>
    <w:p>
      <w:pPr>
        <w:pStyle w:val="BodyText"/>
      </w:pPr>
      <w:r>
        <w:t xml:space="preserve">* κ is uninformative when a category’s prevalence approaches 0% or 100% (or is degenerate); the percentage agreement is the meaningful statistic in these rows.</w:t>
      </w:r>
    </w:p>
    <w:p>
      <w:pPr>
        <w:pStyle w:val="BodyText"/>
      </w:pPr>
      <w:r>
        <w:rPr>
          <w:b/>
        </w:rPr>
        <w:t xml:space="preserve">Reading.</w:t>
      </w:r>
      <w:r>
        <w:t xml:space="preserve"> </w:t>
      </w:r>
      <w:r>
        <w:t xml:space="preserve">The decisive pattern is that the two independent recodes agree with</w:t>
      </w:r>
      <w:r>
        <w:t xml:space="preserve"> </w:t>
      </w:r>
      <w:r>
        <w:rPr>
          <w:i/>
        </w:rPr>
        <w:t xml:space="preserve">each other</w:t>
      </w:r>
      <w:r>
        <w:t xml:space="preserve"> </w:t>
      </w:r>
      <w:r>
        <w:t xml:space="preserve">(κ 0.66–1.00 on every axis and flag except explainability) substantially better than either agrees with the original coding on the criterion-sensitive items — which is the signature of a systematic criterion difference in the original pass, not random error. Both recodes converge on the same three findings: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The prediction-versus-optimization split is criterion-inflated; the combined figure is robust.</w:t>
      </w:r>
      <w:r>
        <w:t xml:space="preserve"> </w:t>
      </w:r>
      <w:r>
        <w:t xml:space="preserve">Of the 22 sampled records originally labelled</w:t>
      </w:r>
      <w:r>
        <w:t xml:space="preserve"> </w:t>
      </w:r>
      <w:r>
        <w:rPr>
          <w:rStyle w:val="VerbatimChar"/>
        </w:rPr>
        <w:t xml:space="preserve">optimization</w:t>
      </w:r>
      <w:r>
        <w:t xml:space="preserve">, the human coder retains 7 as genuine design-family work (3 optimization, 1 multi-objective, 3 inverse-design) and reassigns 14 to</w:t>
      </w:r>
      <w:r>
        <w:t xml:space="preserve"> </w:t>
      </w:r>
      <w:r>
        <w:rPr>
          <w:rStyle w:val="VerbatimChar"/>
        </w:rPr>
        <w:t xml:space="preserve">prediction</w:t>
      </w:r>
      <w:r>
        <w:t xml:space="preserve">; the procedural recode independently retains 5. Both identify the same mechanism: the original label absorbed metaheuristic</w:t>
      </w:r>
      <w:r>
        <w:t xml:space="preserve"> </w:t>
      </w:r>
      <w:r>
        <w:rPr>
          <w:i/>
        </w:rPr>
        <w:t xml:space="preserve">hyperparameter tuning</w:t>
      </w:r>
      <w:r>
        <w:t xml:space="preserve"> </w:t>
      </w:r>
      <w:r>
        <w:t xml:space="preserve">(firefly-/PSO-/GA-optimized predictors). Scaled to the corpus, demonstrated design-space search is roughly 10–17% (recode point estimates 13.0% and 15.4%; strict-label floor 6.8% from the multi-objective and inverse-design categories); the combined prediction-or-optimization share (95.7% [93.9–97.0]) is unaffected (binary agreement 98.5% human, 92.9% procedural).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Environmental-none is an undercount; explainability is the one criterion-band figure.</w:t>
      </w:r>
      <w:r>
        <w:t xml:space="preserve"> </w:t>
      </w:r>
      <w:r>
        <w:t xml:space="preserve">Both recodes apply the quantification rule more strictly than the original pass (human: 16 stricter reclassifications vs 4 laxer; procedural: 17 vs 2), so the 44.8% no-environmental-variable figure is a lower bound — strengthening Section 11’s conclusion. Explainability is the sole flag where the three passes genuinely diverge (sample prevalence: original 32.8%, human 47.8%, procedural 19.4%), reflecting whether generic feature-importance and sensitivity analyses count as explainability; the reported 29.1% sits inside this criterion band, and the asymmetry thesis is insensitive to it because the reliability-side flags (calibration, uncertainty, reproducibility) recode at 97–100% agreement with κ 0.74–1.00 under all three passes. Both recodes also independently identified the same two candidate mechanistic couplings (an FE–ML structural surrogate and a DFT-informed ML-potential framework) missed by the original claim screen, confirming that the 27-claim physics set is a floor (§9.3).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Residual screening error, measured and bounded.</w:t>
      </w:r>
      <w:r>
        <w:t xml:space="preserve"> </w:t>
      </w:r>
      <w:r>
        <w:t xml:space="preserve">The human coder hard-declared 3 of 70 records ineligible (two out-of-scope remote-sensing studies, one review; 4.3% [1.5–11.9]), a strict subset of the six flagged by the procedural recode (8.6% [4.0–17.5]); the three additional procedural flags are contested (the human found minor but real ML content in two). All six remain flagged (</w:t>
      </w:r>
      <w:r>
        <w:rPr>
          <w:rStyle w:val="VerbatimChar"/>
        </w:rPr>
        <w:t xml:space="preserve">eligibility_concern</w:t>
      </w:r>
      <w:r>
        <w:t xml:space="preserve">,</w:t>
      </w:r>
      <w:r>
        <w:t xml:space="preserve"> </w:t>
      </w:r>
      <w:r>
        <w:rPr>
          <w:rStyle w:val="VerbatimChar"/>
        </w:rPr>
        <w:t xml:space="preserve">extraction_master.csv</w:t>
      </w:r>
      <w:r>
        <w:t xml:space="preserve">).</w:t>
      </w:r>
      <w:r>
        <w:t xml:space="preserve"> </w:t>
      </w:r>
      <w:r>
        <w:rPr>
          <w:b/>
        </w:rPr>
        <w:t xml:space="preserve">Sensitivity panel — headline proportions recomputed on the eligible subset (n = 671):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Quantity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 = 677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 = 671 (eligible)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 detectable trust practice</w:t>
            </w:r>
          </w:p>
        </w:tc>
        <w:tc>
          <w:p>
            <w:pPr>
              <w:pStyle w:val="Compact"/>
              <w:jc w:val="left"/>
            </w:pPr>
            <w:r>
              <w:t xml:space="preserve">60.1 [56.4–63.7]</w:t>
            </w:r>
          </w:p>
        </w:tc>
        <w:tc>
          <w:p>
            <w:pPr>
              <w:pStyle w:val="Compact"/>
              <w:jc w:val="left"/>
            </w:pPr>
            <w:r>
              <w:t xml:space="preserve">59.9 [56.2–63.6]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Explainability</w:t>
            </w:r>
          </w:p>
        </w:tc>
        <w:tc>
          <w:p>
            <w:pPr>
              <w:pStyle w:val="Compact"/>
              <w:jc w:val="left"/>
            </w:pPr>
            <w:r>
              <w:t xml:space="preserve">29.1 [25.8–32.6]</w:t>
            </w:r>
          </w:p>
        </w:tc>
        <w:tc>
          <w:p>
            <w:pPr>
              <w:pStyle w:val="Compact"/>
              <w:jc w:val="left"/>
            </w:pPr>
            <w:r>
              <w:t xml:space="preserve">29.4 [26.0–32.9]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Uncertainty quantification</w:t>
            </w:r>
          </w:p>
        </w:tc>
        <w:tc>
          <w:p>
            <w:pPr>
              <w:pStyle w:val="Compact"/>
              <w:jc w:val="left"/>
            </w:pPr>
            <w:r>
              <w:t xml:space="preserve">6.2 [4.6–8.3]</w:t>
            </w:r>
          </w:p>
        </w:tc>
        <w:tc>
          <w:p>
            <w:pPr>
              <w:pStyle w:val="Compact"/>
              <w:jc w:val="left"/>
            </w:pPr>
            <w:r>
              <w:t xml:space="preserve">6.1 [4.5–8.2]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Calibration</w:t>
            </w:r>
          </w:p>
        </w:tc>
        <w:tc>
          <w:p>
            <w:pPr>
              <w:pStyle w:val="Compact"/>
              <w:jc w:val="left"/>
            </w:pPr>
            <w:r>
              <w:t xml:space="preserve">1.3 [0.7–2.5]</w:t>
            </w:r>
          </w:p>
        </w:tc>
        <w:tc>
          <w:p>
            <w:pPr>
              <w:pStyle w:val="Compact"/>
              <w:jc w:val="left"/>
            </w:pPr>
            <w:r>
              <w:t xml:space="preserve">1.3 [0.7–2.5]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External validation</w:t>
            </w:r>
          </w:p>
        </w:tc>
        <w:tc>
          <w:p>
            <w:pPr>
              <w:pStyle w:val="Compact"/>
              <w:jc w:val="left"/>
            </w:pPr>
            <w:r>
              <w:t xml:space="preserve">4.0 [2.8–5.7]</w:t>
            </w:r>
          </w:p>
        </w:tc>
        <w:tc>
          <w:p>
            <w:pPr>
              <w:pStyle w:val="Compact"/>
              <w:jc w:val="left"/>
            </w:pPr>
            <w:r>
              <w:t xml:space="preserve">4.0 [2.8–5.8]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OOD/transfer</w:t>
            </w:r>
          </w:p>
        </w:tc>
        <w:tc>
          <w:p>
            <w:pPr>
              <w:pStyle w:val="Compact"/>
              <w:jc w:val="left"/>
            </w:pPr>
            <w:r>
              <w:t xml:space="preserve">8.6 [6.7–10.9]</w:t>
            </w:r>
          </w:p>
        </w:tc>
        <w:tc>
          <w:p>
            <w:pPr>
              <w:pStyle w:val="Compact"/>
              <w:jc w:val="left"/>
            </w:pPr>
            <w:r>
              <w:t xml:space="preserve">8.6 [6.7–11.0]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Reproducibility</w:t>
            </w:r>
          </w:p>
        </w:tc>
        <w:tc>
          <w:p>
            <w:pPr>
              <w:pStyle w:val="Compact"/>
              <w:jc w:val="left"/>
            </w:pPr>
            <w:r>
              <w:t xml:space="preserve">1.0 [0.5–2.1]</w:t>
            </w:r>
          </w:p>
        </w:tc>
        <w:tc>
          <w:p>
            <w:pPr>
              <w:pStyle w:val="Compact"/>
              <w:jc w:val="left"/>
            </w:pPr>
            <w:r>
              <w:t xml:space="preserve">1.0 [0.5–2.1]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 environmental variable</w:t>
            </w:r>
          </w:p>
        </w:tc>
        <w:tc>
          <w:p>
            <w:pPr>
              <w:pStyle w:val="Compact"/>
              <w:jc w:val="left"/>
            </w:pPr>
            <w:r>
              <w:t xml:space="preserve">44.8 [41.1–48.5]</w:t>
            </w:r>
          </w:p>
        </w:tc>
        <w:tc>
          <w:p>
            <w:pPr>
              <w:pStyle w:val="Compact"/>
              <w:jc w:val="left"/>
            </w:pPr>
            <w:r>
              <w:t xml:space="preserve">44.9 [41.1–48.6]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Physics Type I</w:t>
            </w:r>
          </w:p>
        </w:tc>
        <w:tc>
          <w:p>
            <w:pPr>
              <w:pStyle w:val="Compact"/>
              <w:jc w:val="left"/>
            </w:pPr>
            <w:r>
              <w:t xml:space="preserve">78.0 [74.7–80.9]</w:t>
            </w:r>
          </w:p>
        </w:tc>
        <w:tc>
          <w:p>
            <w:pPr>
              <w:pStyle w:val="Compact"/>
              <w:jc w:val="left"/>
            </w:pPr>
            <w:r>
              <w:t xml:space="preserve">77.9 [74.7–80.9]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Physics Type II</w:t>
            </w:r>
          </w:p>
        </w:tc>
        <w:tc>
          <w:p>
            <w:pPr>
              <w:pStyle w:val="Compact"/>
              <w:jc w:val="left"/>
            </w:pPr>
            <w:r>
              <w:t xml:space="preserve">18.0 [15.3–21.1]</w:t>
            </w:r>
          </w:p>
        </w:tc>
        <w:tc>
          <w:p>
            <w:pPr>
              <w:pStyle w:val="Compact"/>
              <w:jc w:val="left"/>
            </w:pPr>
            <w:r>
              <w:t xml:space="preserve">18.0 [15.3–21.1]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Prediction or optimization</w:t>
            </w:r>
          </w:p>
        </w:tc>
        <w:tc>
          <w:p>
            <w:pPr>
              <w:pStyle w:val="Compact"/>
              <w:jc w:val="left"/>
            </w:pPr>
            <w:r>
              <w:t xml:space="preserve">95.7 [93.9–97.0]</w:t>
            </w:r>
          </w:p>
        </w:tc>
        <w:tc>
          <w:p>
            <w:pPr>
              <w:pStyle w:val="Compact"/>
              <w:jc w:val="left"/>
            </w:pPr>
            <w:r>
              <w:t xml:space="preserve">96.0 [94.2–97.2]</w:t>
            </w:r>
          </w:p>
        </w:tc>
      </w:tr>
    </w:tbl>
    <w:p>
      <w:pPr>
        <w:pStyle w:val="BodyText"/>
      </w:pPr>
      <w:r>
        <w:t xml:space="preserve">No headline figure moves by more than 0.3 percentage points.</w:t>
      </w:r>
    </w:p>
    <w:p>
      <w:pPr>
        <w:pStyle w:val="Heading2"/>
      </w:pPr>
      <w:bookmarkStart w:id="25" w:name="pointers"/>
      <w:r>
        <w:t xml:space="preserve">Pointers</w:t>
      </w:r>
      <w:bookmarkEnd w:id="25"/>
    </w:p>
    <w:p>
      <w:pPr>
        <w:numPr>
          <w:ilvl w:val="0"/>
          <w:numId w:val="1002"/>
        </w:numPr>
        <w:pStyle w:val="Compact"/>
      </w:pPr>
      <w:r>
        <w:t xml:space="preserve">Supplementary Table S2 (verbatim query strings):</w:t>
      </w:r>
      <w:r>
        <w:t xml:space="preserve"> </w:t>
      </w:r>
      <w:r>
        <w:rPr>
          <w:rStyle w:val="VerbatimChar"/>
        </w:rPr>
        <w:t xml:space="preserve">Stage2_Protocol.md</w:t>
      </w:r>
      <w:r>
        <w:t xml:space="preserve"> </w:t>
      </w:r>
      <w:r>
        <w:t xml:space="preserve">§4 and</w:t>
      </w:r>
      <w:r>
        <w:t xml:space="preserve"> </w:t>
      </w:r>
      <w:r>
        <w:rPr>
          <w:rStyle w:val="VerbatimChar"/>
        </w:rPr>
        <w:t xml:space="preserve">Stage3_Corpus_Report.md</w:t>
      </w:r>
      <w:r>
        <w:t xml:space="preserve"> </w:t>
      </w:r>
      <w:r>
        <w:t xml:space="preserve">§1–1b in the artifact.</w:t>
      </w:r>
    </w:p>
    <w:p>
      <w:pPr>
        <w:numPr>
          <w:ilvl w:val="0"/>
          <w:numId w:val="1002"/>
        </w:numPr>
        <w:pStyle w:val="Compact"/>
      </w:pPr>
      <w:r>
        <w:t xml:space="preserve">Supplementary Table S4 (taxonomy candidate scoring):</w:t>
      </w:r>
      <w:r>
        <w:t xml:space="preserve"> </w:t>
      </w:r>
      <w:r>
        <w:rPr>
          <w:rStyle w:val="VerbatimChar"/>
        </w:rPr>
        <w:t xml:space="preserve">Stage4_Taxonomy.md</w:t>
      </w:r>
      <w:r>
        <w:t xml:space="preserve"> </w:t>
      </w:r>
      <w:r>
        <w:t xml:space="preserve">in the artifact.</w:t>
      </w:r>
    </w:p>
    <w:p>
      <w:pPr>
        <w:numPr>
          <w:ilvl w:val="0"/>
          <w:numId w:val="1002"/>
        </w:numPr>
        <w:pStyle w:val="Compact"/>
      </w:pPr>
      <w:r>
        <w:t xml:space="preserve">Supplementary Note S6 (full six-step gap chains G1–G9):</w:t>
      </w:r>
      <w:r>
        <w:t xml:space="preserve"> </w:t>
      </w:r>
      <w:r>
        <w:rPr>
          <w:rStyle w:val="VerbatimChar"/>
        </w:rPr>
        <w:t xml:space="preserve">Stage6_Research_Gaps.md</w:t>
      </w:r>
      <w:r>
        <w:t xml:space="preserve"> </w:t>
      </w:r>
      <w:r>
        <w:t xml:space="preserve">in the artifact.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after="160" w:line="480" w:lineRule="auto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="Times New Roman" w:hAnsi="Times New Roman"/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/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2026-09-05T04:24:03Z</dcterms:created>
  <dcterms:modified xsi:type="dcterms:W3CDTF">2026-09-05T04:24:03Z</dcterms:modified>
</cp:coreProperties>
</file>