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Project Console</w:t>
      </w:r>
    </w:p>
    <w:p>
      <w:pPr>
        <w:spacing w:after="40"/>
      </w:pPr>
      <w:r>
        <w:rPr>
          <w:b/>
          <w:bCs/>
          <w:color w:val="2E75B6"/>
          <w:sz w:val="26"/>
          <w:szCs w:val="26"/>
        </w:rPr>
        <w:t xml:space="preserve">Verification &amp; Open-Questions Register</w:t>
      </w:r>
    </w:p>
    <w:p>
      <w:pPr>
        <w:spacing w:after="90"/>
      </w:pPr>
      <w:r>
        <w:rPr>
          <w:color w:val="6B7280"/>
          <w:sz w:val="19"/>
          <w:szCs w:val="19"/>
        </w:rPr>
        <w:t xml:space="preserve">Owner: Vijay Nair (IT)   ·   Started: 2026-07-26   ·   Living document — update as items close.</w:t>
      </w:r>
    </w:p>
    <w:p>
      <w:pPr>
        <w:spacing w:after="90"/>
      </w:pPr>
      <w:r>
        <w:rPr>
          <w:sz w:val="19"/>
          <w:szCs w:val="19"/>
        </w:rPr>
        <w:t xml:space="preserve">Tracks (A) assumptions baked into the build that need live verification, (B) open decisions pending, and (C) probes delivered but not yet run. Nothing here is confirmed until checked on the domain-joined box — the build environment has no ETO/DB access.</w:t>
      </w:r>
    </w:p>
    <w:p>
      <w:pPr>
        <w:pStyle w:val="Heading1"/>
        <w:spacing w:after="100" w:before="220"/>
      </w:pPr>
      <w:r>
        <w:rPr>
          <w:b/>
          <w:bCs/>
          <w:color w:val="1F3864"/>
          <w:sz w:val="30"/>
          <w:szCs w:val="30"/>
        </w:rPr>
        <w:t xml:space="preserve">A. Assumptions to verify</w:t>
      </w:r>
    </w:p>
    <w:p>
      <w:pPr>
        <w:spacing w:after="90"/>
      </w:pPr>
      <w:r>
        <w:rPr>
          <w:i/>
          <w:iCs/>
          <w:color w:val="6B7280"/>
          <w:sz w:val="19"/>
          <w:szCs w:val="19"/>
        </w:rPr>
        <w:t xml:space="preserve">Each row: what was assumed in code, why it matters if wrong, and how to check.</w:t>
      </w:r>
    </w:p>
    <w:p>
      <w:pPr>
        <w:spacing w:after="70" w:before="140"/>
      </w:pPr>
      <w:r>
        <w:rPr>
          <w:b/>
          <w:bCs/>
          <w:color w:val="1F3864"/>
          <w:sz w:val="20"/>
          <w:szCs w:val="20"/>
        </w:rPr>
        <w:t xml:space="preserve">Material Actual (derived = committed PO value)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0"/>
        <w:gridCol w:w="4200"/>
        <w:gridCol w:w="4120"/>
        <w:gridCol w:w="4000"/>
      </w:tblGrid>
      <w:tr>
        <w:trPr>
          <w:tblHeader/>
        </w:trPr>
        <w:tc>
          <w:tcPr>
            <w:tcW w:type="dxa" w:w="64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t>
            </w:r>
          </w:p>
        </w:tc>
        <w:tc>
          <w:tcPr>
            <w:tcW w:type="dxa" w:w="42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Assumption</w:t>
            </w:r>
          </w:p>
        </w:tc>
        <w:tc>
          <w:tcPr>
            <w:tcW w:type="dxa" w:w="412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Why it matters</w:t>
            </w:r>
          </w:p>
        </w:tc>
        <w:tc>
          <w:tcPr>
            <w:tcW w:type="dxa" w:w="40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How to verify</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poh.PurchaseActive = 1 selects all valid POs and does NOT exclude completed/received ones</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If closed POs have PurchaseActive = 0, committed material is understated</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Compare per-project committed with/without the filter; inspect a fully-received PO's PurchaseActive</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A2</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Material Actual = committed (ordered) is the right definition of “actual”</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Received/invoiced may be truer; changes every material %/variance</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Run console_diag_material_actual.py (committed vs received); owner picks — see B1</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A3</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ExtendedPrice × PurchaseCurrRate (rate≤0→1) gives the CAD line value</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FX tail (USD@1.0 rows) understates; wrong column misstates spend</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Spot-check one USD PO's converted value vs the ETO screen</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A4</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vwPurchaseOrderDetails.ProjectID scopes correctly</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Wrong scoping mis-attributes spend</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Verified for 230219; re-confirm on 2–3 more projects</w:t>
            </w:r>
          </w:p>
        </w:tc>
      </w:tr>
    </w:tbl>
    <w:p>
      <w:pPr>
        <w:spacing w:after="70" w:before="140"/>
      </w:pPr>
      <w:r>
        <w:rPr>
          <w:b/>
          <w:bCs/>
          <w:color w:val="1F3864"/>
          <w:sz w:val="20"/>
          <w:szCs w:val="20"/>
        </w:rPr>
        <w:t xml:space="preserve">Procurement (exec board)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0"/>
        <w:gridCol w:w="4200"/>
        <w:gridCol w:w="4120"/>
        <w:gridCol w:w="4000"/>
      </w:tblGrid>
      <w:tr>
        <w:trPr>
          <w:tblHeader/>
        </w:trPr>
        <w:tc>
          <w:tcPr>
            <w:tcW w:type="dxa" w:w="64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t>
            </w:r>
          </w:p>
        </w:tc>
        <w:tc>
          <w:tcPr>
            <w:tcW w:type="dxa" w:w="42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Assumption</w:t>
            </w:r>
          </w:p>
        </w:tc>
        <w:tc>
          <w:tcPr>
            <w:tcW w:type="dxa" w:w="412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Why it matters</w:t>
            </w:r>
          </w:p>
        </w:tc>
        <w:tc>
          <w:tcPr>
            <w:tcW w:type="dxa" w:w="40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How to verify</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A5</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Line Items = count of all PO detail lines per project</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May differ from the manual “Total Line Items” definition</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Reconcile computed count vs a known project's manual figure</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A6</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LLTP Del. Late = items with LLT flag AND delivered-late</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Needs the item-master LLT flag populated; semantics must match the manual field</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Confirm LLT flag (tblEngItemMaster PartCustom7) is maintained; reconcile on a project</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A7</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Ordered-late / Released-late are NOT derivable (no lead time / planned-release date) → stay manual</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If a usable field exists, we're leaving value on the table</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Re-confirm item lead time is empty and no planned-release date is maintained</w:t>
            </w:r>
          </w:p>
        </w:tc>
      </w:tr>
    </w:tbl>
    <w:p>
      <w:pPr>
        <w:spacing w:after="70" w:before="140"/>
      </w:pPr>
      <w:r>
        <w:rPr>
          <w:b/>
          <w:bCs/>
          <w:color w:val="1F3864"/>
          <w:sz w:val="20"/>
          <w:szCs w:val="20"/>
        </w:rPr>
        <w:t xml:space="preserve">2-Week deltas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0"/>
        <w:gridCol w:w="4200"/>
        <w:gridCol w:w="4120"/>
        <w:gridCol w:w="4000"/>
      </w:tblGrid>
      <w:tr>
        <w:trPr>
          <w:tblHeader/>
        </w:trPr>
        <w:tc>
          <w:tcPr>
            <w:tcW w:type="dxa" w:w="64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t>
            </w:r>
          </w:p>
        </w:tc>
        <w:tc>
          <w:tcPr>
            <w:tcW w:type="dxa" w:w="42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Assumption</w:t>
            </w:r>
          </w:p>
        </w:tc>
        <w:tc>
          <w:tcPr>
            <w:tcW w:type="dxa" w:w="412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Why it matters</w:t>
            </w:r>
          </w:p>
        </w:tc>
        <w:tc>
          <w:tcPr>
            <w:tcW w:type="dxa" w:w="40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How to verify</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A8</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“2-week” = trailing 14 calendar days ending today</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Pack schema notes it may be a 1-week delta; wrong window mis-sizes the delta</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Reconcile computed Δ vs the workbook's delta for a project — see B2</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A9</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Material Δ = PO value committed (placed) in the window</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Received-in-window may be intended instead</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Same probe/decision as B1/B2</w:t>
            </w:r>
          </w:p>
        </w:tc>
      </w:tr>
    </w:tbl>
    <w:p>
      <w:pPr>
        <w:spacing w:after="70" w:before="140"/>
      </w:pPr>
      <w:r>
        <w:rPr>
          <w:b/>
          <w:bCs/>
          <w:color w:val="1F3864"/>
          <w:sz w:val="20"/>
          <w:szCs w:val="20"/>
        </w:rPr>
        <w:t xml:space="preserve">Non-Conformance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0"/>
        <w:gridCol w:w="4200"/>
        <w:gridCol w:w="4120"/>
        <w:gridCol w:w="4000"/>
      </w:tblGrid>
      <w:tr>
        <w:trPr>
          <w:tblHeader/>
        </w:trPr>
        <w:tc>
          <w:tcPr>
            <w:tcW w:type="dxa" w:w="64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t>
            </w:r>
          </w:p>
        </w:tc>
        <w:tc>
          <w:tcPr>
            <w:tcW w:type="dxa" w:w="42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Assumption</w:t>
            </w:r>
          </w:p>
        </w:tc>
        <w:tc>
          <w:tcPr>
            <w:tcW w:type="dxa" w:w="412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Why it matters</w:t>
            </w:r>
          </w:p>
        </w:tc>
        <w:tc>
          <w:tcPr>
            <w:tcW w:type="dxa" w:w="40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How to verify</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A10</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vwCostingSummed_ByNC has a (zero-filled) row per NCR for all projects (LEFT JOIN guard in place)</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INNER would drop zero-cost NCRs; verified 46/46 on 230219 only</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Re-check coverage on a few more projects</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A11</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Labour-cost-of-NC ≈ $0 portfolio-wide (no time booked to NCs)</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If some projects book rework time, cost-of-NC understated</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Sum LaborCostingValue across all NCs</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A12</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Derived discipline-from-origin keyword map is good enough; ETO DepartmentName is populated</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Too much lands in “Other” → weak attribution</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Run console_diag_nc_attribution.py (pending)</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A13</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NC Costing totals equal EXEC urpNonConformancesWithCosts</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Divergence = transcription error</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Spot-checked 230219; re-check a second project</w:t>
            </w:r>
          </w:p>
        </w:tc>
      </w:tr>
    </w:tbl>
    <w:p>
      <w:pPr>
        <w:spacing w:after="70" w:before="140"/>
      </w:pPr>
      <w:r>
        <w:rPr>
          <w:b/>
          <w:bCs/>
          <w:color w:val="1F3864"/>
          <w:sz w:val="20"/>
          <w:szCs w:val="20"/>
        </w:rPr>
        <w:t xml:space="preserve">Plan interface (tblProjectPMEntry)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0"/>
        <w:gridCol w:w="4200"/>
        <w:gridCol w:w="4120"/>
        <w:gridCol w:w="4000"/>
      </w:tblGrid>
      <w:tr>
        <w:trPr>
          <w:tblHeader/>
        </w:trPr>
        <w:tc>
          <w:tcPr>
            <w:tcW w:type="dxa" w:w="64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t>
            </w:r>
          </w:p>
        </w:tc>
        <w:tc>
          <w:tcPr>
            <w:tcW w:type="dxa" w:w="42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Assumption</w:t>
            </w:r>
          </w:p>
        </w:tc>
        <w:tc>
          <w:tcPr>
            <w:tcW w:type="dxa" w:w="412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Why it matters</w:t>
            </w:r>
          </w:p>
        </w:tc>
        <w:tc>
          <w:tcPr>
            <w:tcW w:type="dxa" w:w="40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How to verify</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A14</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Reporting.tblProjectPMEntry exists with the assumed columns (PercentComplete, PlannedShipDate, Labour/MaterialRunout, 7 procurement counts, YearWeekKey, FiscalYear, WeekNo, IncludeFlag, Rank, ReRank, MaterialActual/Budget)</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Live save fails / column mismatch if not</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SELECT the table's columns on the box before first save</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A15</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Web week key (Excel WEEKNUM, year×100+week) matches console_sync's key</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Mismatch → web + spreadsheet write different rows for the same week</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Compare the key console_sync writes vs plan.week_key()</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A16</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Overlay reads % Done as a 0–1 fraction and run-out as a ratio (1.25)</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Wrong scaling → % shows 9300% or 0.0125</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Save one project via the form; confirm the board renders it right</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A17</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FiscalYear column = calendar year (to match the YYYYWW key)</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If it means the Apr–Mar fiscal year, keys/joins drift</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Confirm intended meaning vs the sync</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A18</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Carry-forward INSERT column names exist as written</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New-week insert errors otherwise</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Covered by A14 column check</w:t>
            </w:r>
          </w:p>
        </w:tc>
      </w:tr>
    </w:tbl>
    <w:p>
      <w:pPr>
        <w:spacing w:after="70" w:before="140"/>
      </w:pPr>
      <w:r>
        <w:rPr>
          <w:b/>
          <w:bCs/>
          <w:color w:val="1F3864"/>
          <w:sz w:val="20"/>
          <w:szCs w:val="20"/>
        </w:rPr>
        <w:t xml:space="preserve">Cross-cutting / architecture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0"/>
        <w:gridCol w:w="4200"/>
        <w:gridCol w:w="4120"/>
        <w:gridCol w:w="4000"/>
      </w:tblGrid>
      <w:tr>
        <w:trPr>
          <w:tblHeader/>
        </w:trPr>
        <w:tc>
          <w:tcPr>
            <w:tcW w:type="dxa" w:w="64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t>
            </w:r>
          </w:p>
        </w:tc>
        <w:tc>
          <w:tcPr>
            <w:tcW w:type="dxa" w:w="42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Assumption</w:t>
            </w:r>
          </w:p>
        </w:tc>
        <w:tc>
          <w:tcPr>
            <w:tcW w:type="dxa" w:w="412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Why it matters</w:t>
            </w:r>
          </w:p>
        </w:tc>
        <w:tc>
          <w:tcPr>
            <w:tcW w:type="dxa" w:w="40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How to verify</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A19</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Reporting account has SELECT on every ETO object used at run time (vwTimecards, vwPurchaseOrder*, vwCostingSummed_ByNC, vwNonConformance*, tlkp*)</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 missing grant errors the report/dashboard block</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First live run of the app is the acceptance test; watch the logs</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A20</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The calc/italic rendering displays correctly in the web table AND the Excel export</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Cosmetic-but-visible; logic verified, not rendered here</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Open the exec board + export one workbook and eyeball</w:t>
            </w:r>
          </w:p>
        </w:tc>
      </w:tr>
      <w:tr>
        <w:tc>
          <w:tcPr>
            <w:tcW w:type="dxa" w:w="64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A21</w:t>
            </w:r>
          </w:p>
        </w:tc>
        <w:tc>
          <w:tcPr>
            <w:tcW w:type="dxa" w:w="4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vwPurchaseOrderHeader.PurchaseDate is populated (drives the material 2-wk window)</w:t>
            </w:r>
          </w:p>
        </w:tc>
        <w:tc>
          <w:tcPr>
            <w:tcW w:type="dxa" w:w="412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Nulls silently shrink the delta</w:t>
            </w:r>
          </w:p>
        </w:tc>
        <w:tc>
          <w:tcPr>
            <w:tcW w:type="dxa" w:w="4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Confirm non-null coverage</w:t>
            </w:r>
          </w:p>
        </w:tc>
      </w:tr>
      <w:tr>
        <w:tc>
          <w:tcPr>
            <w:tcW w:type="dxa" w:w="64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A22</w:t>
            </w:r>
          </w:p>
        </w:tc>
        <w:tc>
          <w:tcPr>
            <w:tcW w:type="dxa" w:w="4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None of this session's code has been run against live ETO/DB from here</w:t>
            </w:r>
          </w:p>
        </w:tc>
        <w:tc>
          <w:tcPr>
            <w:tcW w:type="dxa" w:w="412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Everything above is “written to the verified schema,” not executed</w:t>
            </w:r>
          </w:p>
        </w:tc>
        <w:tc>
          <w:tcPr>
            <w:tcW w:type="dxa" w:w="4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Live acceptance pass on the box</w:t>
            </w:r>
          </w:p>
        </w:tc>
      </w:tr>
    </w:tbl>
    <w:p>
      <w:pPr>
        <w:pStyle w:val="Heading1"/>
        <w:spacing w:after="100" w:before="220"/>
      </w:pPr>
      <w:r>
        <w:rPr>
          <w:b/>
          <w:bCs/>
          <w:color w:val="1F3864"/>
          <w:sz w:val="30"/>
          <w:szCs w:val="30"/>
        </w:rPr>
        <w:t xml:space="preserve">B. Open questions / decisions pending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60"/>
        <w:gridCol w:w="3900"/>
        <w:gridCol w:w="5200"/>
        <w:gridCol w:w="3300"/>
      </w:tblGrid>
      <w:tr>
        <w:trPr>
          <w:tblHeader/>
        </w:trPr>
        <w:tc>
          <w:tcPr>
            <w:tcW w:type="dxa" w:w="56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w:t>
            </w:r>
          </w:p>
        </w:tc>
        <w:tc>
          <w:tcPr>
            <w:tcW w:type="dxa" w:w="39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Question</w:t>
            </w:r>
          </w:p>
        </w:tc>
        <w:tc>
          <w:tcPr>
            <w:tcW w:type="dxa" w:w="52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Options / current lean</w:t>
            </w:r>
          </w:p>
        </w:tc>
        <w:tc>
          <w:tcPr>
            <w:tcW w:type="dxa" w:w="33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Depends on</w:t>
            </w:r>
          </w:p>
        </w:tc>
      </w:tr>
      <w:tr>
        <w:tc>
          <w:tcPr>
            <w:tcW w:type="dxa" w:w="5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B1</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Material “actual” = committed or received?</w:t>
            </w:r>
          </w:p>
        </w:tc>
        <w:tc>
          <w:tcPr>
            <w:tcW w:type="dxa" w:w="5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Shipped as committed (ordered); received is truer but lags</w:t>
            </w:r>
          </w:p>
        </w:tc>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console_diag_material_actual.py output</w:t>
            </w:r>
          </w:p>
        </w:tc>
      </w:tr>
      <w:tr>
        <w:tc>
          <w:tcPr>
            <w:tcW w:type="dxa" w:w="5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B2</w:t>
            </w:r>
          </w:p>
        </w:tc>
        <w:tc>
          <w:tcPr>
            <w:tcW w:type="dxa" w:w="39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Delta window = 2 weeks or 1 week?</w:t>
            </w:r>
          </w:p>
        </w:tc>
        <w:tc>
          <w:tcPr>
            <w:tcW w:type="dxa" w:w="5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Built 14-day; pack tracks 1-week — reconcile</w:t>
            </w:r>
          </w:p>
        </w:tc>
        <w:tc>
          <w:tcPr>
            <w:tcW w:type="dxa" w:w="33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A8</w:t>
            </w:r>
          </w:p>
        </w:tc>
      </w:tr>
      <w:tr>
        <w:tc>
          <w:tcPr>
            <w:tcW w:type="dxa" w:w="5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B3</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Plan “activity” = which ETO entity? (current thread)</w:t>
            </w:r>
          </w:p>
        </w:tc>
        <w:tc>
          <w:tcPr>
            <w:tcW w:type="dxa" w:w="5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Lean: spec (tblSpec) × discipline (ties to both labour + material actuals); alternatives: Hour Description (category) or process-schedule task (sparse)</w:t>
            </w:r>
          </w:p>
        </w:tc>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ETO activity/spec probe (to write)</w:t>
            </w:r>
          </w:p>
        </w:tc>
      </w:tr>
      <w:tr>
        <w:tc>
          <w:tcPr>
            <w:tcW w:type="dxa" w:w="5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B4</w:t>
            </w:r>
          </w:p>
        </w:tc>
        <w:tc>
          <w:tcPr>
            <w:tcW w:type="dxa" w:w="39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Activity weight governance</w:t>
            </w:r>
          </w:p>
        </w:tc>
        <w:tc>
          <w:tcPr>
            <w:tcW w:type="dxa" w:w="5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Capture weight + who set it now; 3-party sign-off workflow later?</w:t>
            </w:r>
          </w:p>
        </w:tc>
        <w:tc>
          <w:tcPr>
            <w:tcW w:type="dxa" w:w="33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B3</w:t>
            </w:r>
          </w:p>
        </w:tc>
      </w:tr>
      <w:tr>
        <w:tc>
          <w:tcPr>
            <w:tcW w:type="dxa" w:w="5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B5</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Wire derived run-out (consumed ÷ % done) into the plan form as a suggested value?</w:t>
            </w:r>
          </w:p>
        </w:tc>
        <w:tc>
          <w:tcPr>
            <w:tcW w:type="dxa" w:w="5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Offered; keeps PM override</w:t>
            </w:r>
          </w:p>
        </w:tc>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plan form live</w:t>
            </w:r>
          </w:p>
        </w:tc>
      </w:tr>
      <w:tr>
        <w:tc>
          <w:tcPr>
            <w:tcW w:type="dxa" w:w="5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B6</w:t>
            </w:r>
          </w:p>
        </w:tc>
        <w:tc>
          <w:tcPr>
            <w:tcW w:type="dxa" w:w="39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Derive % Done objectively from the allocation (ETO actual hrs ÷ allocated) to replace the typed %?</w:t>
            </w:r>
          </w:p>
        </w:tc>
        <w:tc>
          <w:tcPr>
            <w:tcW w:type="dxa" w:w="5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The end goal; needs B3 grain + weights</w:t>
            </w:r>
          </w:p>
        </w:tc>
        <w:tc>
          <w:tcPr>
            <w:tcW w:type="dxa" w:w="33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B3, B4</w:t>
            </w:r>
          </w:p>
        </w:tc>
      </w:tr>
      <w:tr>
        <w:tc>
          <w:tcPr>
            <w:tcW w:type="dxa" w:w="5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B7</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 Done 2-week delta — keep manual, or compute from weekly snapshots once the plan form populates?</w:t>
            </w:r>
          </w:p>
        </w:tc>
        <w:tc>
          <w:tcPr>
            <w:tcW w:type="dxa" w:w="5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Manual today (% done not in ETO)</w:t>
            </w:r>
          </w:p>
        </w:tc>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plan form adoption</w:t>
            </w:r>
          </w:p>
        </w:tc>
      </w:tr>
      <w:tr>
        <w:tc>
          <w:tcPr>
            <w:tcW w:type="dxa" w:w="5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B8</w:t>
            </w:r>
          </w:p>
        </w:tc>
        <w:tc>
          <w:tcPr>
            <w:tcW w:type="dxa" w:w="39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Electrical Procurement → Project Management or Electrical Engineering? (Budgets vs Asset Re-Code clash)</w:t>
            </w:r>
          </w:p>
        </w:tc>
        <w:tc>
          <w:tcPr>
            <w:tcW w:type="dxa" w:w="5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Unresolved since 2026-07-18</w:t>
            </w:r>
          </w:p>
        </w:tc>
        <w:tc>
          <w:tcPr>
            <w:tcW w:type="dxa" w:w="33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owner call</w:t>
            </w:r>
          </w:p>
        </w:tc>
      </w:tr>
      <w:tr>
        <w:tc>
          <w:tcPr>
            <w:tcW w:type="dxa" w:w="5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B9</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Retire the spreadsheet sync once budget + plan web forms are adopted?</w:t>
            </w:r>
          </w:p>
        </w:tc>
        <w:tc>
          <w:tcPr>
            <w:tcW w:type="dxa" w:w="5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Transition plan; both write during overlap</w:t>
            </w:r>
          </w:p>
        </w:tc>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A15</w:t>
            </w:r>
          </w:p>
        </w:tc>
      </w:tr>
      <w:tr>
        <w:tc>
          <w:tcPr>
            <w:tcW w:type="dxa" w:w="5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B10</w:t>
            </w:r>
          </w:p>
        </w:tc>
        <w:tc>
          <w:tcPr>
            <w:tcW w:type="dxa" w:w="39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Build the NCR Aging report (open NCRs by age bucket)?</w:t>
            </w:r>
          </w:p>
        </w:tc>
        <w:tc>
          <w:tcPr>
            <w:tcW w:type="dxa" w:w="52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Data supports it (CreationDate); not built</w:t>
            </w:r>
          </w:p>
        </w:tc>
        <w:tc>
          <w:tcPr>
            <w:tcW w:type="dxa" w:w="33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owner priority</w:t>
            </w:r>
          </w:p>
        </w:tc>
      </w:tr>
      <w:tr>
        <w:tc>
          <w:tcPr>
            <w:tcW w:type="dxa" w:w="5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B11</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Long-term home for discipline budget hours — Budgets tab vs Reporting.tblProjectEstimates?</w:t>
            </w:r>
          </w:p>
        </w:tc>
        <w:tc>
          <w:tcPr>
            <w:tcW w:type="dxa" w:w="52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Deferred (roadmap)</w:t>
            </w:r>
          </w:p>
        </w:tc>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later phase</w:t>
            </w:r>
          </w:p>
        </w:tc>
      </w:tr>
    </w:tbl>
    <w:p>
      <w:pPr>
        <w:pStyle w:val="Heading1"/>
        <w:spacing w:after="100" w:before="220"/>
      </w:pPr>
      <w:r>
        <w:rPr>
          <w:b/>
          <w:bCs/>
          <w:color w:val="1F3864"/>
          <w:sz w:val="30"/>
          <w:szCs w:val="30"/>
        </w:rPr>
        <w:t xml:space="preserve">C. Probes — status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7360"/>
        <w:gridCol w:w="2000"/>
      </w:tblGrid>
      <w:tr>
        <w:trPr>
          <w:tblHeader/>
        </w:trPr>
        <w:tc>
          <w:tcPr>
            <w:tcW w:type="dxa" w:w="36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Probe</w:t>
            </w:r>
          </w:p>
        </w:tc>
        <w:tc>
          <w:tcPr>
            <w:tcW w:type="dxa" w:w="736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Purpose</w:t>
            </w:r>
          </w:p>
        </w:tc>
        <w:tc>
          <w:tcPr>
            <w:tcW w:type="dxa" w:w="2000"/>
            <w:tcBorders>
              <w:top w:val="single" w:color="C9D2E0" w:sz="4"/>
              <w:left w:val="single" w:color="C9D2E0" w:sz="4"/>
              <w:bottom w:val="single" w:color="C9D2E0" w:sz="4"/>
              <w:right w:val="single" w:color="C9D2E0" w:sz="4"/>
            </w:tcBorders>
            <w:shd w:fill="2E75B6" w:color="auto" w:val="clear"/>
            <w:tcMar>
              <w:top w:type="dxa" w:w="60"/>
              <w:left w:type="dxa" w:w="90"/>
              <w:bottom w:type="dxa" w:w="60"/>
              <w:right w:type="dxa" w:w="90"/>
            </w:tcMar>
          </w:tcPr>
          <w:p>
            <w:pPr>
              <w:spacing w:after="0"/>
            </w:pPr>
            <w:r>
              <w:rPr>
                <w:b/>
                <w:bCs/>
                <w:i w:val="false"/>
                <w:iCs w:val="false"/>
                <w:color w:val="FFFFFF"/>
                <w:sz w:val="18"/>
                <w:szCs w:val="18"/>
              </w:rPr>
              <w:t xml:space="preserve">Status</w:t>
            </w:r>
          </w:p>
        </w:tc>
      </w:tr>
      <w:tr>
        <w:tc>
          <w:tcPr>
            <w:tcW w:type="dxa" w:w="36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console_diag_ncr.py / _costs.py / _cost_source.py</w:t>
            </w:r>
          </w:p>
        </w:tc>
        <w:tc>
          <w:tcPr>
            <w:tcW w:type="dxa" w:w="73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NC schema, costing procs, cost source</w:t>
            </w:r>
          </w:p>
        </w:tc>
        <w:tc>
          <w:tcPr>
            <w:tcW w:type="dxa" w:w="2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RUN — verified</w:t>
            </w:r>
          </w:p>
        </w:tc>
      </w:tr>
      <w:tr>
        <w:tc>
          <w:tcPr>
            <w:tcW w:type="dxa" w:w="36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console_diag_nc_attribution.py</w:t>
            </w:r>
          </w:p>
        </w:tc>
        <w:tc>
          <w:tcPr>
            <w:tcW w:type="dxa" w:w="73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Origin→department population; derived-discipline spread (A12)</w:t>
            </w:r>
          </w:p>
        </w:tc>
        <w:tc>
          <w:tcPr>
            <w:tcW w:type="dxa" w:w="2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Delivered — run pending</w:t>
            </w:r>
          </w:p>
        </w:tc>
      </w:tr>
      <w:tr>
        <w:tc>
          <w:tcPr>
            <w:tcW w:type="dxa" w:w="36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console_diag_material_actual.py</w:t>
            </w:r>
          </w:p>
        </w:tc>
        <w:tc>
          <w:tcPr>
            <w:tcW w:type="dxa" w:w="73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Committed vs received per project (A1/A2/B1)</w:t>
            </w:r>
          </w:p>
        </w:tc>
        <w:tc>
          <w:tcPr>
            <w:tcW w:type="dxa" w:w="2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Delivered — run pending</w:t>
            </w:r>
          </w:p>
        </w:tc>
      </w:tr>
      <w:tr>
        <w:tc>
          <w:tcPr>
            <w:tcW w:type="dxa" w:w="36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ETO activity/spec probe</w:t>
            </w:r>
          </w:p>
        </w:tc>
        <w:tc>
          <w:tcPr>
            <w:tcW w:type="dxa" w:w="73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Per-project spec list + process-schedule population, to fix the allocation grain (B3)</w:t>
            </w:r>
          </w:p>
        </w:tc>
        <w:tc>
          <w:tcPr>
            <w:tcW w:type="dxa" w:w="2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To write</w:t>
            </w:r>
          </w:p>
        </w:tc>
      </w:tr>
      <w:tr>
        <w:tc>
          <w:tcPr>
            <w:tcW w:type="dxa" w:w="36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Plan PMEntry probe</w:t>
            </w:r>
          </w:p>
        </w:tc>
        <w:tc>
          <w:tcPr>
            <w:tcW w:type="dxa" w:w="736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Confirm tblProjectPMEntry exists + columns + week-key vs sync (A14/A15/A17)</w:t>
            </w:r>
          </w:p>
        </w:tc>
        <w:tc>
          <w:tcPr>
            <w:tcW w:type="dxa" w:w="2000"/>
            <w:tcBorders>
              <w:top w:val="single" w:color="C9D2E0" w:sz="4"/>
              <w:left w:val="single" w:color="C9D2E0" w:sz="4"/>
              <w:bottom w:val="single" w:color="C9D2E0" w:sz="4"/>
              <w:right w:val="single" w:color="C9D2E0" w:sz="4"/>
            </w:tcBorders>
            <w:tcMar>
              <w:top w:type="dxa" w:w="60"/>
              <w:left w:type="dxa" w:w="90"/>
              <w:bottom w:type="dxa" w:w="60"/>
              <w:right w:type="dxa" w:w="90"/>
            </w:tcMar>
          </w:tcPr>
          <w:p>
            <w:pPr>
              <w:spacing w:after="0"/>
            </w:pPr>
            <w:r>
              <w:rPr>
                <w:b w:val="false"/>
                <w:bCs w:val="false"/>
                <w:i w:val="false"/>
                <w:iCs w:val="false"/>
                <w:sz w:val="18"/>
                <w:szCs w:val="18"/>
              </w:rPr>
              <w:t xml:space="preserve">To write</w:t>
            </w:r>
          </w:p>
        </w:tc>
      </w:tr>
      <w:tr>
        <w:tc>
          <w:tcPr>
            <w:tcW w:type="dxa" w:w="36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PO PurchaseActive probe</w:t>
            </w:r>
          </w:p>
        </w:tc>
        <w:tc>
          <w:tcPr>
            <w:tcW w:type="dxa" w:w="736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Committed with/without the active filter (A1)</w:t>
            </w:r>
          </w:p>
        </w:tc>
        <w:tc>
          <w:tcPr>
            <w:tcW w:type="dxa" w:w="2000"/>
            <w:tcBorders>
              <w:top w:val="single" w:color="C9D2E0" w:sz="4"/>
              <w:left w:val="single" w:color="C9D2E0" w:sz="4"/>
              <w:bottom w:val="single" w:color="C9D2E0" w:sz="4"/>
              <w:right w:val="single" w:color="C9D2E0" w:sz="4"/>
            </w:tcBorders>
            <w:shd w:fill="F2F4F8" w:color="auto" w:val="clear"/>
            <w:tcMar>
              <w:top w:type="dxa" w:w="60"/>
              <w:left w:type="dxa" w:w="90"/>
              <w:bottom w:type="dxa" w:w="60"/>
              <w:right w:type="dxa" w:w="90"/>
            </w:tcMar>
          </w:tcPr>
          <w:p>
            <w:pPr>
              <w:spacing w:after="0"/>
            </w:pPr>
            <w:r>
              <w:rPr>
                <w:b w:val="false"/>
                <w:bCs w:val="false"/>
                <w:i w:val="false"/>
                <w:iCs w:val="false"/>
                <w:sz w:val="18"/>
                <w:szCs w:val="18"/>
              </w:rPr>
              <w:t xml:space="preserve">To write (fold into material probe)</w:t>
            </w:r>
          </w:p>
        </w:tc>
      </w:tr>
    </w:tbl>
    <w:p>
      <w:pPr>
        <w:spacing w:before="200"/>
      </w:pPr>
      <w:r>
        <w:rPr>
          <w:i/>
          <w:iCs/>
          <w:color w:val="6B7280"/>
          <w:sz w:val="18"/>
          <w:szCs w:val="18"/>
        </w:rPr>
        <w:t xml:space="preserve">How to use: run the pending / to-write probes on the box, paste output back, and we close the matching A-rows and B-decisions here. A single live acceptance pass on the app clears A19–A22.</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Console</dc:creator>
  <cp:lastModifiedBy>Un-named</cp:lastModifiedBy>
  <cp:revision>1</cp:revision>
  <dcterms:created xsi:type="dcterms:W3CDTF">2026-07-26T21:16:43.664Z</dcterms:created>
  <dcterms:modified xsi:type="dcterms:W3CDTF">2026-07-26T21:16:43.664Z</dcterms:modified>
</cp:coreProperties>
</file>

<file path=docProps/custom.xml><?xml version="1.0" encoding="utf-8"?>
<Properties xmlns="http://schemas.openxmlformats.org/officeDocument/2006/custom-properties" xmlns:vt="http://schemas.openxmlformats.org/officeDocument/2006/docPropsVTypes"/>
</file>