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864"/>
          <w:sz w:val="40"/>
          <w:szCs w:val="40"/>
        </w:rPr>
        <w:t xml:space="preserve">Project Console</w:t>
      </w:r>
    </w:p>
    <w:p>
      <w:pPr>
        <w:spacing w:after="40"/>
      </w:pPr>
      <w:r>
        <w:rPr>
          <w:b/>
          <w:bCs/>
          <w:color w:val="2E75B6"/>
          <w:sz w:val="26"/>
          <w:szCs w:val="26"/>
        </w:rPr>
        <w:t xml:space="preserve">Verification &amp; Open-Questions Register</w:t>
      </w:r>
    </w:p>
    <w:p>
      <w:pPr>
        <w:spacing w:after="90"/>
      </w:pPr>
      <w:r>
        <w:rPr>
          <w:color w:val="6B7280"/>
          <w:sz w:val="19"/>
          <w:szCs w:val="19"/>
        </w:rPr>
        <w:t xml:space="preserve">Owner: Vijay Nair (IT)   ·   Started: 2026-07-26   ·   Living document — update as items close.</w:t>
      </w:r>
    </w:p>
    <w:p>
      <w:pPr>
        <w:spacing w:after="90"/>
      </w:pPr>
      <w:r>
        <w:rPr>
          <w:sz w:val="19"/>
          <w:szCs w:val="19"/>
        </w:rPr>
        <w:t xml:space="preserve">Tracks (A) assumptions baked into the build that need live verification, (B) open decisions pending, and (C) probes delivered but not yet run. Nothing here is confirmed until checked on the domain-joined box — the build environment has no ETO/DB access.</w:t>
      </w:r>
    </w:p>
    <w:p>
      <w:pPr>
        <w:pStyle w:val="Heading1"/>
        <w:spacing w:after="100" w:before="220"/>
      </w:pPr>
      <w:r>
        <w:rPr>
          <w:b/>
          <w:bCs/>
          <w:color w:val="1F3864"/>
          <w:sz w:val="30"/>
          <w:szCs w:val="30"/>
        </w:rPr>
        <w:t xml:space="preserve">Probe run — 2026-07-26: resolutions</w:t>
      </w:r>
    </w:p>
    <w:p>
      <w:pPr>
        <w:spacing w:after="90"/>
      </w:pPr>
      <w:r>
        <w:rPr>
          <w:sz w:val="19"/>
          <w:szCs w:val="19"/>
        </w:rPr>
        <w:t xml:space="preserve">A1 (PurchaseActive undercount) — RESOLVED, no issue: committed material is identical with and without the filter (230219 = $2,331,491.80), and all 38,185 POs are active. The filter is a no-op.</w:t>
      </w:r>
    </w:p>
    <w:p>
      <w:pPr>
        <w:spacing w:after="90"/>
      </w:pPr>
      <w:r>
        <w:rPr>
          <w:sz w:val="19"/>
          <w:szCs w:val="19"/>
        </w:rPr>
        <w:t xml:space="preserve">A14 (plan write target) — RESOLVED: tblProjectPMEntry exists with every column the plan form writes.</w:t>
      </w:r>
    </w:p>
    <w:p>
      <w:pPr>
        <w:spacing w:after="90"/>
      </w:pPr>
      <w:r>
        <w:rPr>
          <w:sz w:val="19"/>
          <w:szCs w:val="19"/>
        </w:rPr>
        <w:t xml:space="preserve">A15/A17 — SOFTENED: tblProjectPMEntry has 0 rows (PM side never loaded), so no web-vs-sync key collision today. This also explains the blank Schedule / % Done / run-out / procurement cells on the live board — there is no PM data yet.</w:t>
      </w:r>
    </w:p>
    <w:p>
      <w:pPr>
        <w:spacing w:after="90"/>
      </w:pPr>
      <w:r>
        <w:rPr>
          <w:sz w:val="19"/>
          <w:szCs w:val="19"/>
        </w:rPr>
        <w:t xml:space="preserve">B3 (what is an “activity”) — NARROWED: specs work for objective % now but are coarse; ETO's process-schedule module (operations with estimate/total hours) is the granular candidate, pending a populated/progress check (console_diag_process_schedule.py).</w:t>
      </w:r>
    </w:p>
    <w:p>
      <w:pPr>
        <w:pStyle w:val="Heading1"/>
        <w:spacing w:after="100" w:before="220"/>
      </w:pPr>
      <w:r>
        <w:rPr>
          <w:b/>
          <w:bCs/>
          <w:color w:val="1F3864"/>
          <w:sz w:val="30"/>
          <w:szCs w:val="30"/>
        </w:rPr>
        <w:t xml:space="preserve">A. Assumptions to verify</w:t>
      </w:r>
    </w:p>
    <w:p>
      <w:pPr>
        <w:spacing w:after="90"/>
      </w:pPr>
      <w:r>
        <w:rPr>
          <w:i/>
          <w:iCs/>
          <w:color w:val="6B7280"/>
          <w:sz w:val="19"/>
          <w:szCs w:val="19"/>
        </w:rPr>
        <w:t xml:space="preserve">Each row: what was assumed in code, why it matters if wrong, and how to check.</w:t>
      </w:r>
    </w:p>
    <w:p>
      <w:pPr>
        <w:spacing w:after="70" w:before="140"/>
      </w:pPr>
      <w:r>
        <w:rPr>
          <w:b/>
          <w:bCs/>
          <w:color w:val="1F3864"/>
          <w:sz w:val="20"/>
          <w:szCs w:val="20"/>
        </w:rPr>
        <w:t xml:space="preserve">Material Actual (derived = committed PO value)</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640"/>
        <w:gridCol w:w="4200"/>
        <w:gridCol w:w="4120"/>
        <w:gridCol w:w="4000"/>
      </w:tblGrid>
      <w:tr>
        <w:trPr>
          <w:tblHeader/>
        </w:trPr>
        <w:tc>
          <w:tcPr>
            <w:tcW w:type="dxa" w:w="640"/>
            <w:tcBorders>
              <w:top w:val="single" w:color="C9D2E0" w:sz="4"/>
              <w:left w:val="single" w:color="C9D2E0" w:sz="4"/>
              <w:bottom w:val="single" w:color="C9D2E0" w:sz="4"/>
              <w:right w:val="single" w:color="C9D2E0" w:sz="4"/>
            </w:tcBorders>
            <w:shd w:fill="2E75B6" w:color="auto" w:val="clear"/>
            <w:tcMar>
              <w:top w:type="dxa" w:w="60"/>
              <w:left w:type="dxa" w:w="90"/>
              <w:bottom w:type="dxa" w:w="60"/>
              <w:right w:type="dxa" w:w="90"/>
            </w:tcMar>
          </w:tcPr>
          <w:p>
            <w:pPr>
              <w:spacing w:after="0"/>
            </w:pPr>
            <w:r>
              <w:rPr>
                <w:b/>
                <w:bCs/>
                <w:i w:val="false"/>
                <w:iCs w:val="false"/>
                <w:color w:val="FFFFFF"/>
                <w:sz w:val="18"/>
                <w:szCs w:val="18"/>
              </w:rPr>
              <w:t xml:space="preserve">#</w:t>
            </w:r>
          </w:p>
        </w:tc>
        <w:tc>
          <w:tcPr>
            <w:tcW w:type="dxa" w:w="4200"/>
            <w:tcBorders>
              <w:top w:val="single" w:color="C9D2E0" w:sz="4"/>
              <w:left w:val="single" w:color="C9D2E0" w:sz="4"/>
              <w:bottom w:val="single" w:color="C9D2E0" w:sz="4"/>
              <w:right w:val="single" w:color="C9D2E0" w:sz="4"/>
            </w:tcBorders>
            <w:shd w:fill="2E75B6" w:color="auto" w:val="clear"/>
            <w:tcMar>
              <w:top w:type="dxa" w:w="60"/>
              <w:left w:type="dxa" w:w="90"/>
              <w:bottom w:type="dxa" w:w="60"/>
              <w:right w:type="dxa" w:w="90"/>
            </w:tcMar>
          </w:tcPr>
          <w:p>
            <w:pPr>
              <w:spacing w:after="0"/>
            </w:pPr>
            <w:r>
              <w:rPr>
                <w:b/>
                <w:bCs/>
                <w:i w:val="false"/>
                <w:iCs w:val="false"/>
                <w:color w:val="FFFFFF"/>
                <w:sz w:val="18"/>
                <w:szCs w:val="18"/>
              </w:rPr>
              <w:t xml:space="preserve">Assumption</w:t>
            </w:r>
          </w:p>
        </w:tc>
        <w:tc>
          <w:tcPr>
            <w:tcW w:type="dxa" w:w="4120"/>
            <w:tcBorders>
              <w:top w:val="single" w:color="C9D2E0" w:sz="4"/>
              <w:left w:val="single" w:color="C9D2E0" w:sz="4"/>
              <w:bottom w:val="single" w:color="C9D2E0" w:sz="4"/>
              <w:right w:val="single" w:color="C9D2E0" w:sz="4"/>
            </w:tcBorders>
            <w:shd w:fill="2E75B6" w:color="auto" w:val="clear"/>
            <w:tcMar>
              <w:top w:type="dxa" w:w="60"/>
              <w:left w:type="dxa" w:w="90"/>
              <w:bottom w:type="dxa" w:w="60"/>
              <w:right w:type="dxa" w:w="90"/>
            </w:tcMar>
          </w:tcPr>
          <w:p>
            <w:pPr>
              <w:spacing w:after="0"/>
            </w:pPr>
            <w:r>
              <w:rPr>
                <w:b/>
                <w:bCs/>
                <w:i w:val="false"/>
                <w:iCs w:val="false"/>
                <w:color w:val="FFFFFF"/>
                <w:sz w:val="18"/>
                <w:szCs w:val="18"/>
              </w:rPr>
              <w:t xml:space="preserve">Why it matters</w:t>
            </w:r>
          </w:p>
        </w:tc>
        <w:tc>
          <w:tcPr>
            <w:tcW w:type="dxa" w:w="4000"/>
            <w:tcBorders>
              <w:top w:val="single" w:color="C9D2E0" w:sz="4"/>
              <w:left w:val="single" w:color="C9D2E0" w:sz="4"/>
              <w:bottom w:val="single" w:color="C9D2E0" w:sz="4"/>
              <w:right w:val="single" w:color="C9D2E0" w:sz="4"/>
            </w:tcBorders>
            <w:shd w:fill="2E75B6" w:color="auto" w:val="clear"/>
            <w:tcMar>
              <w:top w:type="dxa" w:w="60"/>
              <w:left w:type="dxa" w:w="90"/>
              <w:bottom w:type="dxa" w:w="60"/>
              <w:right w:type="dxa" w:w="90"/>
            </w:tcMar>
          </w:tcPr>
          <w:p>
            <w:pPr>
              <w:spacing w:after="0"/>
            </w:pPr>
            <w:r>
              <w:rPr>
                <w:b/>
                <w:bCs/>
                <w:i w:val="false"/>
                <w:iCs w:val="false"/>
                <w:color w:val="FFFFFF"/>
                <w:sz w:val="18"/>
                <w:szCs w:val="18"/>
              </w:rPr>
              <w:t xml:space="preserve">How to verify</w:t>
            </w:r>
          </w:p>
        </w:tc>
      </w:tr>
      <w:tr>
        <w:tc>
          <w:tcPr>
            <w:tcW w:type="dxa" w:w="64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A1</w:t>
            </w:r>
          </w:p>
        </w:tc>
        <w:tc>
          <w:tcPr>
            <w:tcW w:type="dxa" w:w="42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 RESOLVED — PurchaseActive=1 is a no-op (all 38,185 POs active); committed not undercounted</w:t>
            </w:r>
          </w:p>
        </w:tc>
        <w:tc>
          <w:tcPr>
            <w:tcW w:type="dxa" w:w="412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w:t>
            </w:r>
          </w:p>
        </w:tc>
        <w:tc>
          <w:tcPr>
            <w:tcW w:type="dxa" w:w="40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Closed by console_diag_po_active.py</w:t>
            </w:r>
          </w:p>
        </w:tc>
      </w:tr>
      <w:tr>
        <w:tc>
          <w:tcPr>
            <w:tcW w:type="dxa" w:w="64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A2</w:t>
            </w:r>
          </w:p>
        </w:tc>
        <w:tc>
          <w:tcPr>
            <w:tcW w:type="dxa" w:w="42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Material Actual = committed (ordered) is the right definition of “actual”</w:t>
            </w:r>
          </w:p>
        </w:tc>
        <w:tc>
          <w:tcPr>
            <w:tcW w:type="dxa" w:w="412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Received/invoiced may be truer; changes every material %/variance</w:t>
            </w:r>
          </w:p>
        </w:tc>
        <w:tc>
          <w:tcPr>
            <w:tcW w:type="dxa" w:w="40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Run console_diag_material_actual.py (committed vs received); owner picks — see B1</w:t>
            </w:r>
          </w:p>
        </w:tc>
      </w:tr>
      <w:tr>
        <w:tc>
          <w:tcPr>
            <w:tcW w:type="dxa" w:w="64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A3</w:t>
            </w:r>
          </w:p>
        </w:tc>
        <w:tc>
          <w:tcPr>
            <w:tcW w:type="dxa" w:w="42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ExtendedPrice × PurchaseCurrRate (rate≤0→1) gives the CAD line value</w:t>
            </w:r>
          </w:p>
        </w:tc>
        <w:tc>
          <w:tcPr>
            <w:tcW w:type="dxa" w:w="412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FX tail (USD@1.0 rows) understates; wrong column misstates spend</w:t>
            </w:r>
          </w:p>
        </w:tc>
        <w:tc>
          <w:tcPr>
            <w:tcW w:type="dxa" w:w="40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Spot-check one USD PO's converted value vs the ETO screen</w:t>
            </w:r>
          </w:p>
        </w:tc>
      </w:tr>
      <w:tr>
        <w:tc>
          <w:tcPr>
            <w:tcW w:type="dxa" w:w="64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A4</w:t>
            </w:r>
          </w:p>
        </w:tc>
        <w:tc>
          <w:tcPr>
            <w:tcW w:type="dxa" w:w="42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vwPurchaseOrderDetails.ProjectID scopes correctly</w:t>
            </w:r>
          </w:p>
        </w:tc>
        <w:tc>
          <w:tcPr>
            <w:tcW w:type="dxa" w:w="412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Wrong scoping mis-attributes spend</w:t>
            </w:r>
          </w:p>
        </w:tc>
        <w:tc>
          <w:tcPr>
            <w:tcW w:type="dxa" w:w="40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Verified for 230219; re-confirm on 2–3 more projects</w:t>
            </w:r>
          </w:p>
        </w:tc>
      </w:tr>
    </w:tbl>
    <w:p>
      <w:pPr>
        <w:spacing w:after="70" w:before="140"/>
      </w:pPr>
      <w:r>
        <w:rPr>
          <w:b/>
          <w:bCs/>
          <w:color w:val="1F3864"/>
          <w:sz w:val="20"/>
          <w:szCs w:val="20"/>
        </w:rPr>
        <w:t xml:space="preserve">Procurement (exec board)</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640"/>
        <w:gridCol w:w="4200"/>
        <w:gridCol w:w="4120"/>
        <w:gridCol w:w="4000"/>
      </w:tblGrid>
      <w:tr>
        <w:trPr>
          <w:tblHeader/>
        </w:trPr>
        <w:tc>
          <w:tcPr>
            <w:tcW w:type="dxa" w:w="640"/>
            <w:tcBorders>
              <w:top w:val="single" w:color="C9D2E0" w:sz="4"/>
              <w:left w:val="single" w:color="C9D2E0" w:sz="4"/>
              <w:bottom w:val="single" w:color="C9D2E0" w:sz="4"/>
              <w:right w:val="single" w:color="C9D2E0" w:sz="4"/>
            </w:tcBorders>
            <w:shd w:fill="2E75B6" w:color="auto" w:val="clear"/>
            <w:tcMar>
              <w:top w:type="dxa" w:w="60"/>
              <w:left w:type="dxa" w:w="90"/>
              <w:bottom w:type="dxa" w:w="60"/>
              <w:right w:type="dxa" w:w="90"/>
            </w:tcMar>
          </w:tcPr>
          <w:p>
            <w:pPr>
              <w:spacing w:after="0"/>
            </w:pPr>
            <w:r>
              <w:rPr>
                <w:b/>
                <w:bCs/>
                <w:i w:val="false"/>
                <w:iCs w:val="false"/>
                <w:color w:val="FFFFFF"/>
                <w:sz w:val="18"/>
                <w:szCs w:val="18"/>
              </w:rPr>
              <w:t xml:space="preserve">#</w:t>
            </w:r>
          </w:p>
        </w:tc>
        <w:tc>
          <w:tcPr>
            <w:tcW w:type="dxa" w:w="4200"/>
            <w:tcBorders>
              <w:top w:val="single" w:color="C9D2E0" w:sz="4"/>
              <w:left w:val="single" w:color="C9D2E0" w:sz="4"/>
              <w:bottom w:val="single" w:color="C9D2E0" w:sz="4"/>
              <w:right w:val="single" w:color="C9D2E0" w:sz="4"/>
            </w:tcBorders>
            <w:shd w:fill="2E75B6" w:color="auto" w:val="clear"/>
            <w:tcMar>
              <w:top w:type="dxa" w:w="60"/>
              <w:left w:type="dxa" w:w="90"/>
              <w:bottom w:type="dxa" w:w="60"/>
              <w:right w:type="dxa" w:w="90"/>
            </w:tcMar>
          </w:tcPr>
          <w:p>
            <w:pPr>
              <w:spacing w:after="0"/>
            </w:pPr>
            <w:r>
              <w:rPr>
                <w:b/>
                <w:bCs/>
                <w:i w:val="false"/>
                <w:iCs w:val="false"/>
                <w:color w:val="FFFFFF"/>
                <w:sz w:val="18"/>
                <w:szCs w:val="18"/>
              </w:rPr>
              <w:t xml:space="preserve">Assumption</w:t>
            </w:r>
          </w:p>
        </w:tc>
        <w:tc>
          <w:tcPr>
            <w:tcW w:type="dxa" w:w="4120"/>
            <w:tcBorders>
              <w:top w:val="single" w:color="C9D2E0" w:sz="4"/>
              <w:left w:val="single" w:color="C9D2E0" w:sz="4"/>
              <w:bottom w:val="single" w:color="C9D2E0" w:sz="4"/>
              <w:right w:val="single" w:color="C9D2E0" w:sz="4"/>
            </w:tcBorders>
            <w:shd w:fill="2E75B6" w:color="auto" w:val="clear"/>
            <w:tcMar>
              <w:top w:type="dxa" w:w="60"/>
              <w:left w:type="dxa" w:w="90"/>
              <w:bottom w:type="dxa" w:w="60"/>
              <w:right w:type="dxa" w:w="90"/>
            </w:tcMar>
          </w:tcPr>
          <w:p>
            <w:pPr>
              <w:spacing w:after="0"/>
            </w:pPr>
            <w:r>
              <w:rPr>
                <w:b/>
                <w:bCs/>
                <w:i w:val="false"/>
                <w:iCs w:val="false"/>
                <w:color w:val="FFFFFF"/>
                <w:sz w:val="18"/>
                <w:szCs w:val="18"/>
              </w:rPr>
              <w:t xml:space="preserve">Why it matters</w:t>
            </w:r>
          </w:p>
        </w:tc>
        <w:tc>
          <w:tcPr>
            <w:tcW w:type="dxa" w:w="4000"/>
            <w:tcBorders>
              <w:top w:val="single" w:color="C9D2E0" w:sz="4"/>
              <w:left w:val="single" w:color="C9D2E0" w:sz="4"/>
              <w:bottom w:val="single" w:color="C9D2E0" w:sz="4"/>
              <w:right w:val="single" w:color="C9D2E0" w:sz="4"/>
            </w:tcBorders>
            <w:shd w:fill="2E75B6" w:color="auto" w:val="clear"/>
            <w:tcMar>
              <w:top w:type="dxa" w:w="60"/>
              <w:left w:type="dxa" w:w="90"/>
              <w:bottom w:type="dxa" w:w="60"/>
              <w:right w:type="dxa" w:w="90"/>
            </w:tcMar>
          </w:tcPr>
          <w:p>
            <w:pPr>
              <w:spacing w:after="0"/>
            </w:pPr>
            <w:r>
              <w:rPr>
                <w:b/>
                <w:bCs/>
                <w:i w:val="false"/>
                <w:iCs w:val="false"/>
                <w:color w:val="FFFFFF"/>
                <w:sz w:val="18"/>
                <w:szCs w:val="18"/>
              </w:rPr>
              <w:t xml:space="preserve">How to verify</w:t>
            </w:r>
          </w:p>
        </w:tc>
      </w:tr>
      <w:tr>
        <w:tc>
          <w:tcPr>
            <w:tcW w:type="dxa" w:w="64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A5</w:t>
            </w:r>
          </w:p>
        </w:tc>
        <w:tc>
          <w:tcPr>
            <w:tcW w:type="dxa" w:w="42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Line Items = count of all PO detail lines per project</w:t>
            </w:r>
          </w:p>
        </w:tc>
        <w:tc>
          <w:tcPr>
            <w:tcW w:type="dxa" w:w="412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May differ from the manual “Total Line Items” definition</w:t>
            </w:r>
          </w:p>
        </w:tc>
        <w:tc>
          <w:tcPr>
            <w:tcW w:type="dxa" w:w="40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Reconcile computed count vs a known project's manual figure</w:t>
            </w:r>
          </w:p>
        </w:tc>
      </w:tr>
      <w:tr>
        <w:tc>
          <w:tcPr>
            <w:tcW w:type="dxa" w:w="64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A6</w:t>
            </w:r>
          </w:p>
        </w:tc>
        <w:tc>
          <w:tcPr>
            <w:tcW w:type="dxa" w:w="42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LLTP Del. Late = items with LLT flag AND delivered-late</w:t>
            </w:r>
          </w:p>
        </w:tc>
        <w:tc>
          <w:tcPr>
            <w:tcW w:type="dxa" w:w="412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Needs the item-master LLT flag populated; semantics must match the manual field</w:t>
            </w:r>
          </w:p>
        </w:tc>
        <w:tc>
          <w:tcPr>
            <w:tcW w:type="dxa" w:w="40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Confirm LLT flag (tblEngItemMaster PartCustom7) is maintained; reconcile on a project</w:t>
            </w:r>
          </w:p>
        </w:tc>
      </w:tr>
      <w:tr>
        <w:tc>
          <w:tcPr>
            <w:tcW w:type="dxa" w:w="64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A7</w:t>
            </w:r>
          </w:p>
        </w:tc>
        <w:tc>
          <w:tcPr>
            <w:tcW w:type="dxa" w:w="42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Ordered-late / Released-late are NOT derivable (no lead time / planned-release date) → stay manual</w:t>
            </w:r>
          </w:p>
        </w:tc>
        <w:tc>
          <w:tcPr>
            <w:tcW w:type="dxa" w:w="412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If a usable field exists, we're leaving value on the table</w:t>
            </w:r>
          </w:p>
        </w:tc>
        <w:tc>
          <w:tcPr>
            <w:tcW w:type="dxa" w:w="40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Re-confirm item lead time is empty and no planned-release date is maintained</w:t>
            </w:r>
          </w:p>
        </w:tc>
      </w:tr>
    </w:tbl>
    <w:p>
      <w:pPr>
        <w:spacing w:after="70" w:before="140"/>
      </w:pPr>
      <w:r>
        <w:rPr>
          <w:b/>
          <w:bCs/>
          <w:color w:val="1F3864"/>
          <w:sz w:val="20"/>
          <w:szCs w:val="20"/>
        </w:rPr>
        <w:t xml:space="preserve">2-Week deltas</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640"/>
        <w:gridCol w:w="4200"/>
        <w:gridCol w:w="4120"/>
        <w:gridCol w:w="4000"/>
      </w:tblGrid>
      <w:tr>
        <w:trPr>
          <w:tblHeader/>
        </w:trPr>
        <w:tc>
          <w:tcPr>
            <w:tcW w:type="dxa" w:w="640"/>
            <w:tcBorders>
              <w:top w:val="single" w:color="C9D2E0" w:sz="4"/>
              <w:left w:val="single" w:color="C9D2E0" w:sz="4"/>
              <w:bottom w:val="single" w:color="C9D2E0" w:sz="4"/>
              <w:right w:val="single" w:color="C9D2E0" w:sz="4"/>
            </w:tcBorders>
            <w:shd w:fill="2E75B6" w:color="auto" w:val="clear"/>
            <w:tcMar>
              <w:top w:type="dxa" w:w="60"/>
              <w:left w:type="dxa" w:w="90"/>
              <w:bottom w:type="dxa" w:w="60"/>
              <w:right w:type="dxa" w:w="90"/>
            </w:tcMar>
          </w:tcPr>
          <w:p>
            <w:pPr>
              <w:spacing w:after="0"/>
            </w:pPr>
            <w:r>
              <w:rPr>
                <w:b/>
                <w:bCs/>
                <w:i w:val="false"/>
                <w:iCs w:val="false"/>
                <w:color w:val="FFFFFF"/>
                <w:sz w:val="18"/>
                <w:szCs w:val="18"/>
              </w:rPr>
              <w:t xml:space="preserve">#</w:t>
            </w:r>
          </w:p>
        </w:tc>
        <w:tc>
          <w:tcPr>
            <w:tcW w:type="dxa" w:w="4200"/>
            <w:tcBorders>
              <w:top w:val="single" w:color="C9D2E0" w:sz="4"/>
              <w:left w:val="single" w:color="C9D2E0" w:sz="4"/>
              <w:bottom w:val="single" w:color="C9D2E0" w:sz="4"/>
              <w:right w:val="single" w:color="C9D2E0" w:sz="4"/>
            </w:tcBorders>
            <w:shd w:fill="2E75B6" w:color="auto" w:val="clear"/>
            <w:tcMar>
              <w:top w:type="dxa" w:w="60"/>
              <w:left w:type="dxa" w:w="90"/>
              <w:bottom w:type="dxa" w:w="60"/>
              <w:right w:type="dxa" w:w="90"/>
            </w:tcMar>
          </w:tcPr>
          <w:p>
            <w:pPr>
              <w:spacing w:after="0"/>
            </w:pPr>
            <w:r>
              <w:rPr>
                <w:b/>
                <w:bCs/>
                <w:i w:val="false"/>
                <w:iCs w:val="false"/>
                <w:color w:val="FFFFFF"/>
                <w:sz w:val="18"/>
                <w:szCs w:val="18"/>
              </w:rPr>
              <w:t xml:space="preserve">Assumption</w:t>
            </w:r>
          </w:p>
        </w:tc>
        <w:tc>
          <w:tcPr>
            <w:tcW w:type="dxa" w:w="4120"/>
            <w:tcBorders>
              <w:top w:val="single" w:color="C9D2E0" w:sz="4"/>
              <w:left w:val="single" w:color="C9D2E0" w:sz="4"/>
              <w:bottom w:val="single" w:color="C9D2E0" w:sz="4"/>
              <w:right w:val="single" w:color="C9D2E0" w:sz="4"/>
            </w:tcBorders>
            <w:shd w:fill="2E75B6" w:color="auto" w:val="clear"/>
            <w:tcMar>
              <w:top w:type="dxa" w:w="60"/>
              <w:left w:type="dxa" w:w="90"/>
              <w:bottom w:type="dxa" w:w="60"/>
              <w:right w:type="dxa" w:w="90"/>
            </w:tcMar>
          </w:tcPr>
          <w:p>
            <w:pPr>
              <w:spacing w:after="0"/>
            </w:pPr>
            <w:r>
              <w:rPr>
                <w:b/>
                <w:bCs/>
                <w:i w:val="false"/>
                <w:iCs w:val="false"/>
                <w:color w:val="FFFFFF"/>
                <w:sz w:val="18"/>
                <w:szCs w:val="18"/>
              </w:rPr>
              <w:t xml:space="preserve">Why it matters</w:t>
            </w:r>
          </w:p>
        </w:tc>
        <w:tc>
          <w:tcPr>
            <w:tcW w:type="dxa" w:w="4000"/>
            <w:tcBorders>
              <w:top w:val="single" w:color="C9D2E0" w:sz="4"/>
              <w:left w:val="single" w:color="C9D2E0" w:sz="4"/>
              <w:bottom w:val="single" w:color="C9D2E0" w:sz="4"/>
              <w:right w:val="single" w:color="C9D2E0" w:sz="4"/>
            </w:tcBorders>
            <w:shd w:fill="2E75B6" w:color="auto" w:val="clear"/>
            <w:tcMar>
              <w:top w:type="dxa" w:w="60"/>
              <w:left w:type="dxa" w:w="90"/>
              <w:bottom w:type="dxa" w:w="60"/>
              <w:right w:type="dxa" w:w="90"/>
            </w:tcMar>
          </w:tcPr>
          <w:p>
            <w:pPr>
              <w:spacing w:after="0"/>
            </w:pPr>
            <w:r>
              <w:rPr>
                <w:b/>
                <w:bCs/>
                <w:i w:val="false"/>
                <w:iCs w:val="false"/>
                <w:color w:val="FFFFFF"/>
                <w:sz w:val="18"/>
                <w:szCs w:val="18"/>
              </w:rPr>
              <w:t xml:space="preserve">How to verify</w:t>
            </w:r>
          </w:p>
        </w:tc>
      </w:tr>
      <w:tr>
        <w:tc>
          <w:tcPr>
            <w:tcW w:type="dxa" w:w="64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A8</w:t>
            </w:r>
          </w:p>
        </w:tc>
        <w:tc>
          <w:tcPr>
            <w:tcW w:type="dxa" w:w="42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“2-week” = trailing 14 calendar days ending today</w:t>
            </w:r>
          </w:p>
        </w:tc>
        <w:tc>
          <w:tcPr>
            <w:tcW w:type="dxa" w:w="412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Pack schema notes it may be a 1-week delta; wrong window mis-sizes the delta</w:t>
            </w:r>
          </w:p>
        </w:tc>
        <w:tc>
          <w:tcPr>
            <w:tcW w:type="dxa" w:w="40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Reconcile computed Δ vs the workbook's delta for a project — see B2</w:t>
            </w:r>
          </w:p>
        </w:tc>
      </w:tr>
      <w:tr>
        <w:tc>
          <w:tcPr>
            <w:tcW w:type="dxa" w:w="64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A9</w:t>
            </w:r>
          </w:p>
        </w:tc>
        <w:tc>
          <w:tcPr>
            <w:tcW w:type="dxa" w:w="42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Material Δ = PO value committed (placed) in the window</w:t>
            </w:r>
          </w:p>
        </w:tc>
        <w:tc>
          <w:tcPr>
            <w:tcW w:type="dxa" w:w="412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Received-in-window may be intended instead</w:t>
            </w:r>
          </w:p>
        </w:tc>
        <w:tc>
          <w:tcPr>
            <w:tcW w:type="dxa" w:w="40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Same probe/decision as B1/B2</w:t>
            </w:r>
          </w:p>
        </w:tc>
      </w:tr>
    </w:tbl>
    <w:p>
      <w:pPr>
        <w:spacing w:after="70" w:before="140"/>
      </w:pPr>
      <w:r>
        <w:rPr>
          <w:b/>
          <w:bCs/>
          <w:color w:val="1F3864"/>
          <w:sz w:val="20"/>
          <w:szCs w:val="20"/>
        </w:rPr>
        <w:t xml:space="preserve">Non-Conformance</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640"/>
        <w:gridCol w:w="4200"/>
        <w:gridCol w:w="4120"/>
        <w:gridCol w:w="4000"/>
      </w:tblGrid>
      <w:tr>
        <w:trPr>
          <w:tblHeader/>
        </w:trPr>
        <w:tc>
          <w:tcPr>
            <w:tcW w:type="dxa" w:w="640"/>
            <w:tcBorders>
              <w:top w:val="single" w:color="C9D2E0" w:sz="4"/>
              <w:left w:val="single" w:color="C9D2E0" w:sz="4"/>
              <w:bottom w:val="single" w:color="C9D2E0" w:sz="4"/>
              <w:right w:val="single" w:color="C9D2E0" w:sz="4"/>
            </w:tcBorders>
            <w:shd w:fill="2E75B6" w:color="auto" w:val="clear"/>
            <w:tcMar>
              <w:top w:type="dxa" w:w="60"/>
              <w:left w:type="dxa" w:w="90"/>
              <w:bottom w:type="dxa" w:w="60"/>
              <w:right w:type="dxa" w:w="90"/>
            </w:tcMar>
          </w:tcPr>
          <w:p>
            <w:pPr>
              <w:spacing w:after="0"/>
            </w:pPr>
            <w:r>
              <w:rPr>
                <w:b/>
                <w:bCs/>
                <w:i w:val="false"/>
                <w:iCs w:val="false"/>
                <w:color w:val="FFFFFF"/>
                <w:sz w:val="18"/>
                <w:szCs w:val="18"/>
              </w:rPr>
              <w:t xml:space="preserve">#</w:t>
            </w:r>
          </w:p>
        </w:tc>
        <w:tc>
          <w:tcPr>
            <w:tcW w:type="dxa" w:w="4200"/>
            <w:tcBorders>
              <w:top w:val="single" w:color="C9D2E0" w:sz="4"/>
              <w:left w:val="single" w:color="C9D2E0" w:sz="4"/>
              <w:bottom w:val="single" w:color="C9D2E0" w:sz="4"/>
              <w:right w:val="single" w:color="C9D2E0" w:sz="4"/>
            </w:tcBorders>
            <w:shd w:fill="2E75B6" w:color="auto" w:val="clear"/>
            <w:tcMar>
              <w:top w:type="dxa" w:w="60"/>
              <w:left w:type="dxa" w:w="90"/>
              <w:bottom w:type="dxa" w:w="60"/>
              <w:right w:type="dxa" w:w="90"/>
            </w:tcMar>
          </w:tcPr>
          <w:p>
            <w:pPr>
              <w:spacing w:after="0"/>
            </w:pPr>
            <w:r>
              <w:rPr>
                <w:b/>
                <w:bCs/>
                <w:i w:val="false"/>
                <w:iCs w:val="false"/>
                <w:color w:val="FFFFFF"/>
                <w:sz w:val="18"/>
                <w:szCs w:val="18"/>
              </w:rPr>
              <w:t xml:space="preserve">Assumption</w:t>
            </w:r>
          </w:p>
        </w:tc>
        <w:tc>
          <w:tcPr>
            <w:tcW w:type="dxa" w:w="4120"/>
            <w:tcBorders>
              <w:top w:val="single" w:color="C9D2E0" w:sz="4"/>
              <w:left w:val="single" w:color="C9D2E0" w:sz="4"/>
              <w:bottom w:val="single" w:color="C9D2E0" w:sz="4"/>
              <w:right w:val="single" w:color="C9D2E0" w:sz="4"/>
            </w:tcBorders>
            <w:shd w:fill="2E75B6" w:color="auto" w:val="clear"/>
            <w:tcMar>
              <w:top w:type="dxa" w:w="60"/>
              <w:left w:type="dxa" w:w="90"/>
              <w:bottom w:type="dxa" w:w="60"/>
              <w:right w:type="dxa" w:w="90"/>
            </w:tcMar>
          </w:tcPr>
          <w:p>
            <w:pPr>
              <w:spacing w:after="0"/>
            </w:pPr>
            <w:r>
              <w:rPr>
                <w:b/>
                <w:bCs/>
                <w:i w:val="false"/>
                <w:iCs w:val="false"/>
                <w:color w:val="FFFFFF"/>
                <w:sz w:val="18"/>
                <w:szCs w:val="18"/>
              </w:rPr>
              <w:t xml:space="preserve">Why it matters</w:t>
            </w:r>
          </w:p>
        </w:tc>
        <w:tc>
          <w:tcPr>
            <w:tcW w:type="dxa" w:w="4000"/>
            <w:tcBorders>
              <w:top w:val="single" w:color="C9D2E0" w:sz="4"/>
              <w:left w:val="single" w:color="C9D2E0" w:sz="4"/>
              <w:bottom w:val="single" w:color="C9D2E0" w:sz="4"/>
              <w:right w:val="single" w:color="C9D2E0" w:sz="4"/>
            </w:tcBorders>
            <w:shd w:fill="2E75B6" w:color="auto" w:val="clear"/>
            <w:tcMar>
              <w:top w:type="dxa" w:w="60"/>
              <w:left w:type="dxa" w:w="90"/>
              <w:bottom w:type="dxa" w:w="60"/>
              <w:right w:type="dxa" w:w="90"/>
            </w:tcMar>
          </w:tcPr>
          <w:p>
            <w:pPr>
              <w:spacing w:after="0"/>
            </w:pPr>
            <w:r>
              <w:rPr>
                <w:b/>
                <w:bCs/>
                <w:i w:val="false"/>
                <w:iCs w:val="false"/>
                <w:color w:val="FFFFFF"/>
                <w:sz w:val="18"/>
                <w:szCs w:val="18"/>
              </w:rPr>
              <w:t xml:space="preserve">How to verify</w:t>
            </w:r>
          </w:p>
        </w:tc>
      </w:tr>
      <w:tr>
        <w:tc>
          <w:tcPr>
            <w:tcW w:type="dxa" w:w="64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A10</w:t>
            </w:r>
          </w:p>
        </w:tc>
        <w:tc>
          <w:tcPr>
            <w:tcW w:type="dxa" w:w="42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vwCostingSummed_ByNC has a (zero-filled) row per NCR for all projects (LEFT JOIN guard in place)</w:t>
            </w:r>
          </w:p>
        </w:tc>
        <w:tc>
          <w:tcPr>
            <w:tcW w:type="dxa" w:w="412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INNER would drop zero-cost NCRs; verified 46/46 on 230219 only</w:t>
            </w:r>
          </w:p>
        </w:tc>
        <w:tc>
          <w:tcPr>
            <w:tcW w:type="dxa" w:w="40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Re-check coverage on a few more projects</w:t>
            </w:r>
          </w:p>
        </w:tc>
      </w:tr>
      <w:tr>
        <w:tc>
          <w:tcPr>
            <w:tcW w:type="dxa" w:w="64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A11</w:t>
            </w:r>
          </w:p>
        </w:tc>
        <w:tc>
          <w:tcPr>
            <w:tcW w:type="dxa" w:w="42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Labour-cost-of-NC ≈ $0 portfolio-wide (no time booked to NCs)</w:t>
            </w:r>
          </w:p>
        </w:tc>
        <w:tc>
          <w:tcPr>
            <w:tcW w:type="dxa" w:w="412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If some projects book rework time, cost-of-NC understated</w:t>
            </w:r>
          </w:p>
        </w:tc>
        <w:tc>
          <w:tcPr>
            <w:tcW w:type="dxa" w:w="40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Sum LaborCostingValue across all NCs</w:t>
            </w:r>
          </w:p>
        </w:tc>
      </w:tr>
      <w:tr>
        <w:tc>
          <w:tcPr>
            <w:tcW w:type="dxa" w:w="64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A12</w:t>
            </w:r>
          </w:p>
        </w:tc>
        <w:tc>
          <w:tcPr>
            <w:tcW w:type="dxa" w:w="42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Derived discipline-from-origin keyword map is good enough; ETO DepartmentName is populated</w:t>
            </w:r>
          </w:p>
        </w:tc>
        <w:tc>
          <w:tcPr>
            <w:tcW w:type="dxa" w:w="412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Too much lands in “Other” → weak attribution</w:t>
            </w:r>
          </w:p>
        </w:tc>
        <w:tc>
          <w:tcPr>
            <w:tcW w:type="dxa" w:w="40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Run console_diag_nc_attribution.py (pending)</w:t>
            </w:r>
          </w:p>
        </w:tc>
      </w:tr>
      <w:tr>
        <w:tc>
          <w:tcPr>
            <w:tcW w:type="dxa" w:w="64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A13</w:t>
            </w:r>
          </w:p>
        </w:tc>
        <w:tc>
          <w:tcPr>
            <w:tcW w:type="dxa" w:w="42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NC Costing totals equal EXEC urpNonConformancesWithCosts</w:t>
            </w:r>
          </w:p>
        </w:tc>
        <w:tc>
          <w:tcPr>
            <w:tcW w:type="dxa" w:w="412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Divergence = transcription error</w:t>
            </w:r>
          </w:p>
        </w:tc>
        <w:tc>
          <w:tcPr>
            <w:tcW w:type="dxa" w:w="40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Spot-checked 230219; re-check a second project</w:t>
            </w:r>
          </w:p>
        </w:tc>
      </w:tr>
    </w:tbl>
    <w:p>
      <w:pPr>
        <w:spacing w:after="70" w:before="140"/>
      </w:pPr>
      <w:r>
        <w:rPr>
          <w:b/>
          <w:bCs/>
          <w:color w:val="1F3864"/>
          <w:sz w:val="20"/>
          <w:szCs w:val="20"/>
        </w:rPr>
        <w:t xml:space="preserve">Plan interface (tblProjectPMEntry)</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640"/>
        <w:gridCol w:w="4200"/>
        <w:gridCol w:w="4120"/>
        <w:gridCol w:w="4000"/>
      </w:tblGrid>
      <w:tr>
        <w:trPr>
          <w:tblHeader/>
        </w:trPr>
        <w:tc>
          <w:tcPr>
            <w:tcW w:type="dxa" w:w="640"/>
            <w:tcBorders>
              <w:top w:val="single" w:color="C9D2E0" w:sz="4"/>
              <w:left w:val="single" w:color="C9D2E0" w:sz="4"/>
              <w:bottom w:val="single" w:color="C9D2E0" w:sz="4"/>
              <w:right w:val="single" w:color="C9D2E0" w:sz="4"/>
            </w:tcBorders>
            <w:shd w:fill="2E75B6" w:color="auto" w:val="clear"/>
            <w:tcMar>
              <w:top w:type="dxa" w:w="60"/>
              <w:left w:type="dxa" w:w="90"/>
              <w:bottom w:type="dxa" w:w="60"/>
              <w:right w:type="dxa" w:w="90"/>
            </w:tcMar>
          </w:tcPr>
          <w:p>
            <w:pPr>
              <w:spacing w:after="0"/>
            </w:pPr>
            <w:r>
              <w:rPr>
                <w:b/>
                <w:bCs/>
                <w:i w:val="false"/>
                <w:iCs w:val="false"/>
                <w:color w:val="FFFFFF"/>
                <w:sz w:val="18"/>
                <w:szCs w:val="18"/>
              </w:rPr>
              <w:t xml:space="preserve">#</w:t>
            </w:r>
          </w:p>
        </w:tc>
        <w:tc>
          <w:tcPr>
            <w:tcW w:type="dxa" w:w="4200"/>
            <w:tcBorders>
              <w:top w:val="single" w:color="C9D2E0" w:sz="4"/>
              <w:left w:val="single" w:color="C9D2E0" w:sz="4"/>
              <w:bottom w:val="single" w:color="C9D2E0" w:sz="4"/>
              <w:right w:val="single" w:color="C9D2E0" w:sz="4"/>
            </w:tcBorders>
            <w:shd w:fill="2E75B6" w:color="auto" w:val="clear"/>
            <w:tcMar>
              <w:top w:type="dxa" w:w="60"/>
              <w:left w:type="dxa" w:w="90"/>
              <w:bottom w:type="dxa" w:w="60"/>
              <w:right w:type="dxa" w:w="90"/>
            </w:tcMar>
          </w:tcPr>
          <w:p>
            <w:pPr>
              <w:spacing w:after="0"/>
            </w:pPr>
            <w:r>
              <w:rPr>
                <w:b/>
                <w:bCs/>
                <w:i w:val="false"/>
                <w:iCs w:val="false"/>
                <w:color w:val="FFFFFF"/>
                <w:sz w:val="18"/>
                <w:szCs w:val="18"/>
              </w:rPr>
              <w:t xml:space="preserve">Assumption</w:t>
            </w:r>
          </w:p>
        </w:tc>
        <w:tc>
          <w:tcPr>
            <w:tcW w:type="dxa" w:w="4120"/>
            <w:tcBorders>
              <w:top w:val="single" w:color="C9D2E0" w:sz="4"/>
              <w:left w:val="single" w:color="C9D2E0" w:sz="4"/>
              <w:bottom w:val="single" w:color="C9D2E0" w:sz="4"/>
              <w:right w:val="single" w:color="C9D2E0" w:sz="4"/>
            </w:tcBorders>
            <w:shd w:fill="2E75B6" w:color="auto" w:val="clear"/>
            <w:tcMar>
              <w:top w:type="dxa" w:w="60"/>
              <w:left w:type="dxa" w:w="90"/>
              <w:bottom w:type="dxa" w:w="60"/>
              <w:right w:type="dxa" w:w="90"/>
            </w:tcMar>
          </w:tcPr>
          <w:p>
            <w:pPr>
              <w:spacing w:after="0"/>
            </w:pPr>
            <w:r>
              <w:rPr>
                <w:b/>
                <w:bCs/>
                <w:i w:val="false"/>
                <w:iCs w:val="false"/>
                <w:color w:val="FFFFFF"/>
                <w:sz w:val="18"/>
                <w:szCs w:val="18"/>
              </w:rPr>
              <w:t xml:space="preserve">Why it matters</w:t>
            </w:r>
          </w:p>
        </w:tc>
        <w:tc>
          <w:tcPr>
            <w:tcW w:type="dxa" w:w="4000"/>
            <w:tcBorders>
              <w:top w:val="single" w:color="C9D2E0" w:sz="4"/>
              <w:left w:val="single" w:color="C9D2E0" w:sz="4"/>
              <w:bottom w:val="single" w:color="C9D2E0" w:sz="4"/>
              <w:right w:val="single" w:color="C9D2E0" w:sz="4"/>
            </w:tcBorders>
            <w:shd w:fill="2E75B6" w:color="auto" w:val="clear"/>
            <w:tcMar>
              <w:top w:type="dxa" w:w="60"/>
              <w:left w:type="dxa" w:w="90"/>
              <w:bottom w:type="dxa" w:w="60"/>
              <w:right w:type="dxa" w:w="90"/>
            </w:tcMar>
          </w:tcPr>
          <w:p>
            <w:pPr>
              <w:spacing w:after="0"/>
            </w:pPr>
            <w:r>
              <w:rPr>
                <w:b/>
                <w:bCs/>
                <w:i w:val="false"/>
                <w:iCs w:val="false"/>
                <w:color w:val="FFFFFF"/>
                <w:sz w:val="18"/>
                <w:szCs w:val="18"/>
              </w:rPr>
              <w:t xml:space="preserve">How to verify</w:t>
            </w:r>
          </w:p>
        </w:tc>
      </w:tr>
      <w:tr>
        <w:tc>
          <w:tcPr>
            <w:tcW w:type="dxa" w:w="64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A14</w:t>
            </w:r>
          </w:p>
        </w:tc>
        <w:tc>
          <w:tcPr>
            <w:tcW w:type="dxa" w:w="42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 RESOLVED — tblProjectPMEntry exists with all expected columns (but 0 rows: PM side never loaded)</w:t>
            </w:r>
          </w:p>
        </w:tc>
        <w:tc>
          <w:tcPr>
            <w:tcW w:type="dxa" w:w="412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w:t>
            </w:r>
          </w:p>
        </w:tc>
        <w:tc>
          <w:tcPr>
            <w:tcW w:type="dxa" w:w="40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Closed by console_diag_pmentry.py</w:t>
            </w:r>
          </w:p>
        </w:tc>
      </w:tr>
      <w:tr>
        <w:tc>
          <w:tcPr>
            <w:tcW w:type="dxa" w:w="64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A15</w:t>
            </w:r>
          </w:p>
        </w:tc>
        <w:tc>
          <w:tcPr>
            <w:tcW w:type="dxa" w:w="42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Web week key (Excel WEEKNUM, year×100+week) matches console_sync's key</w:t>
            </w:r>
          </w:p>
        </w:tc>
        <w:tc>
          <w:tcPr>
            <w:tcW w:type="dxa" w:w="412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Mismatch → web + spreadsheet write different rows for the same week</w:t>
            </w:r>
          </w:p>
        </w:tc>
        <w:tc>
          <w:tcPr>
            <w:tcW w:type="dxa" w:w="40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Compare the key console_sync writes vs plan.week_key()</w:t>
            </w:r>
          </w:p>
        </w:tc>
      </w:tr>
      <w:tr>
        <w:tc>
          <w:tcPr>
            <w:tcW w:type="dxa" w:w="64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A16</w:t>
            </w:r>
          </w:p>
        </w:tc>
        <w:tc>
          <w:tcPr>
            <w:tcW w:type="dxa" w:w="42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Overlay reads % Done as a 0–1 fraction and run-out as a ratio (1.25)</w:t>
            </w:r>
          </w:p>
        </w:tc>
        <w:tc>
          <w:tcPr>
            <w:tcW w:type="dxa" w:w="412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Wrong scaling → % shows 9300% or 0.0125</w:t>
            </w:r>
          </w:p>
        </w:tc>
        <w:tc>
          <w:tcPr>
            <w:tcW w:type="dxa" w:w="40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Save one project via the form; confirm the board renders it right</w:t>
            </w:r>
          </w:p>
        </w:tc>
      </w:tr>
      <w:tr>
        <w:tc>
          <w:tcPr>
            <w:tcW w:type="dxa" w:w="64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A17</w:t>
            </w:r>
          </w:p>
        </w:tc>
        <w:tc>
          <w:tcPr>
            <w:tcW w:type="dxa" w:w="42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FiscalYear column = calendar year (to match the YYYYWW key)</w:t>
            </w:r>
          </w:p>
        </w:tc>
        <w:tc>
          <w:tcPr>
            <w:tcW w:type="dxa" w:w="412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If it means the Apr–Mar fiscal year, keys/joins drift</w:t>
            </w:r>
          </w:p>
        </w:tc>
        <w:tc>
          <w:tcPr>
            <w:tcW w:type="dxa" w:w="40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Confirm intended meaning vs the sync</w:t>
            </w:r>
          </w:p>
        </w:tc>
      </w:tr>
      <w:tr>
        <w:tc>
          <w:tcPr>
            <w:tcW w:type="dxa" w:w="64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A18</w:t>
            </w:r>
          </w:p>
        </w:tc>
        <w:tc>
          <w:tcPr>
            <w:tcW w:type="dxa" w:w="42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Carry-forward INSERT column names exist as written</w:t>
            </w:r>
          </w:p>
        </w:tc>
        <w:tc>
          <w:tcPr>
            <w:tcW w:type="dxa" w:w="412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New-week insert errors otherwise</w:t>
            </w:r>
          </w:p>
        </w:tc>
        <w:tc>
          <w:tcPr>
            <w:tcW w:type="dxa" w:w="40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Covered by A14 column check</w:t>
            </w:r>
          </w:p>
        </w:tc>
      </w:tr>
    </w:tbl>
    <w:p>
      <w:pPr>
        <w:spacing w:after="70" w:before="140"/>
      </w:pPr>
      <w:r>
        <w:rPr>
          <w:b/>
          <w:bCs/>
          <w:color w:val="1F3864"/>
          <w:sz w:val="20"/>
          <w:szCs w:val="20"/>
        </w:rPr>
        <w:t xml:space="preserve">Cross-cutting / architecture</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640"/>
        <w:gridCol w:w="4200"/>
        <w:gridCol w:w="4120"/>
        <w:gridCol w:w="4000"/>
      </w:tblGrid>
      <w:tr>
        <w:trPr>
          <w:tblHeader/>
        </w:trPr>
        <w:tc>
          <w:tcPr>
            <w:tcW w:type="dxa" w:w="640"/>
            <w:tcBorders>
              <w:top w:val="single" w:color="C9D2E0" w:sz="4"/>
              <w:left w:val="single" w:color="C9D2E0" w:sz="4"/>
              <w:bottom w:val="single" w:color="C9D2E0" w:sz="4"/>
              <w:right w:val="single" w:color="C9D2E0" w:sz="4"/>
            </w:tcBorders>
            <w:shd w:fill="2E75B6" w:color="auto" w:val="clear"/>
            <w:tcMar>
              <w:top w:type="dxa" w:w="60"/>
              <w:left w:type="dxa" w:w="90"/>
              <w:bottom w:type="dxa" w:w="60"/>
              <w:right w:type="dxa" w:w="90"/>
            </w:tcMar>
          </w:tcPr>
          <w:p>
            <w:pPr>
              <w:spacing w:after="0"/>
            </w:pPr>
            <w:r>
              <w:rPr>
                <w:b/>
                <w:bCs/>
                <w:i w:val="false"/>
                <w:iCs w:val="false"/>
                <w:color w:val="FFFFFF"/>
                <w:sz w:val="18"/>
                <w:szCs w:val="18"/>
              </w:rPr>
              <w:t xml:space="preserve">#</w:t>
            </w:r>
          </w:p>
        </w:tc>
        <w:tc>
          <w:tcPr>
            <w:tcW w:type="dxa" w:w="4200"/>
            <w:tcBorders>
              <w:top w:val="single" w:color="C9D2E0" w:sz="4"/>
              <w:left w:val="single" w:color="C9D2E0" w:sz="4"/>
              <w:bottom w:val="single" w:color="C9D2E0" w:sz="4"/>
              <w:right w:val="single" w:color="C9D2E0" w:sz="4"/>
            </w:tcBorders>
            <w:shd w:fill="2E75B6" w:color="auto" w:val="clear"/>
            <w:tcMar>
              <w:top w:type="dxa" w:w="60"/>
              <w:left w:type="dxa" w:w="90"/>
              <w:bottom w:type="dxa" w:w="60"/>
              <w:right w:type="dxa" w:w="90"/>
            </w:tcMar>
          </w:tcPr>
          <w:p>
            <w:pPr>
              <w:spacing w:after="0"/>
            </w:pPr>
            <w:r>
              <w:rPr>
                <w:b/>
                <w:bCs/>
                <w:i w:val="false"/>
                <w:iCs w:val="false"/>
                <w:color w:val="FFFFFF"/>
                <w:sz w:val="18"/>
                <w:szCs w:val="18"/>
              </w:rPr>
              <w:t xml:space="preserve">Assumption</w:t>
            </w:r>
          </w:p>
        </w:tc>
        <w:tc>
          <w:tcPr>
            <w:tcW w:type="dxa" w:w="4120"/>
            <w:tcBorders>
              <w:top w:val="single" w:color="C9D2E0" w:sz="4"/>
              <w:left w:val="single" w:color="C9D2E0" w:sz="4"/>
              <w:bottom w:val="single" w:color="C9D2E0" w:sz="4"/>
              <w:right w:val="single" w:color="C9D2E0" w:sz="4"/>
            </w:tcBorders>
            <w:shd w:fill="2E75B6" w:color="auto" w:val="clear"/>
            <w:tcMar>
              <w:top w:type="dxa" w:w="60"/>
              <w:left w:type="dxa" w:w="90"/>
              <w:bottom w:type="dxa" w:w="60"/>
              <w:right w:type="dxa" w:w="90"/>
            </w:tcMar>
          </w:tcPr>
          <w:p>
            <w:pPr>
              <w:spacing w:after="0"/>
            </w:pPr>
            <w:r>
              <w:rPr>
                <w:b/>
                <w:bCs/>
                <w:i w:val="false"/>
                <w:iCs w:val="false"/>
                <w:color w:val="FFFFFF"/>
                <w:sz w:val="18"/>
                <w:szCs w:val="18"/>
              </w:rPr>
              <w:t xml:space="preserve">Why it matters</w:t>
            </w:r>
          </w:p>
        </w:tc>
        <w:tc>
          <w:tcPr>
            <w:tcW w:type="dxa" w:w="4000"/>
            <w:tcBorders>
              <w:top w:val="single" w:color="C9D2E0" w:sz="4"/>
              <w:left w:val="single" w:color="C9D2E0" w:sz="4"/>
              <w:bottom w:val="single" w:color="C9D2E0" w:sz="4"/>
              <w:right w:val="single" w:color="C9D2E0" w:sz="4"/>
            </w:tcBorders>
            <w:shd w:fill="2E75B6" w:color="auto" w:val="clear"/>
            <w:tcMar>
              <w:top w:type="dxa" w:w="60"/>
              <w:left w:type="dxa" w:w="90"/>
              <w:bottom w:type="dxa" w:w="60"/>
              <w:right w:type="dxa" w:w="90"/>
            </w:tcMar>
          </w:tcPr>
          <w:p>
            <w:pPr>
              <w:spacing w:after="0"/>
            </w:pPr>
            <w:r>
              <w:rPr>
                <w:b/>
                <w:bCs/>
                <w:i w:val="false"/>
                <w:iCs w:val="false"/>
                <w:color w:val="FFFFFF"/>
                <w:sz w:val="18"/>
                <w:szCs w:val="18"/>
              </w:rPr>
              <w:t xml:space="preserve">How to verify</w:t>
            </w:r>
          </w:p>
        </w:tc>
      </w:tr>
      <w:tr>
        <w:tc>
          <w:tcPr>
            <w:tcW w:type="dxa" w:w="64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A19</w:t>
            </w:r>
          </w:p>
        </w:tc>
        <w:tc>
          <w:tcPr>
            <w:tcW w:type="dxa" w:w="42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Reporting account has SELECT on every ETO object used at run time (vwTimecards, vwPurchaseOrder*, vwCostingSummed_ByNC, vwNonConformance*, tlkp*)</w:t>
            </w:r>
          </w:p>
        </w:tc>
        <w:tc>
          <w:tcPr>
            <w:tcW w:type="dxa" w:w="412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A missing grant errors the report/dashboard block</w:t>
            </w:r>
          </w:p>
        </w:tc>
        <w:tc>
          <w:tcPr>
            <w:tcW w:type="dxa" w:w="40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First live run of the app is the acceptance test; watch the logs</w:t>
            </w:r>
          </w:p>
        </w:tc>
      </w:tr>
      <w:tr>
        <w:tc>
          <w:tcPr>
            <w:tcW w:type="dxa" w:w="64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A20</w:t>
            </w:r>
          </w:p>
        </w:tc>
        <w:tc>
          <w:tcPr>
            <w:tcW w:type="dxa" w:w="42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The calc/italic rendering displays correctly in the web table AND the Excel export</w:t>
            </w:r>
          </w:p>
        </w:tc>
        <w:tc>
          <w:tcPr>
            <w:tcW w:type="dxa" w:w="412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Cosmetic-but-visible; logic verified, not rendered here</w:t>
            </w:r>
          </w:p>
        </w:tc>
        <w:tc>
          <w:tcPr>
            <w:tcW w:type="dxa" w:w="40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Open the exec board + export one workbook and eyeball</w:t>
            </w:r>
          </w:p>
        </w:tc>
      </w:tr>
      <w:tr>
        <w:tc>
          <w:tcPr>
            <w:tcW w:type="dxa" w:w="64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A21</w:t>
            </w:r>
          </w:p>
        </w:tc>
        <w:tc>
          <w:tcPr>
            <w:tcW w:type="dxa" w:w="42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vwPurchaseOrderHeader.PurchaseDate is populated (drives the material 2-wk window)</w:t>
            </w:r>
          </w:p>
        </w:tc>
        <w:tc>
          <w:tcPr>
            <w:tcW w:type="dxa" w:w="412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Nulls silently shrink the delta</w:t>
            </w:r>
          </w:p>
        </w:tc>
        <w:tc>
          <w:tcPr>
            <w:tcW w:type="dxa" w:w="40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Confirm non-null coverage</w:t>
            </w:r>
          </w:p>
        </w:tc>
      </w:tr>
      <w:tr>
        <w:tc>
          <w:tcPr>
            <w:tcW w:type="dxa" w:w="64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A22</w:t>
            </w:r>
          </w:p>
        </w:tc>
        <w:tc>
          <w:tcPr>
            <w:tcW w:type="dxa" w:w="42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None of this session's code has been run against live ETO/DB from here</w:t>
            </w:r>
          </w:p>
        </w:tc>
        <w:tc>
          <w:tcPr>
            <w:tcW w:type="dxa" w:w="412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Everything above is “written to the verified schema,” not executed</w:t>
            </w:r>
          </w:p>
        </w:tc>
        <w:tc>
          <w:tcPr>
            <w:tcW w:type="dxa" w:w="40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Live acceptance pass on the box</w:t>
            </w:r>
          </w:p>
        </w:tc>
      </w:tr>
    </w:tbl>
    <w:p>
      <w:pPr>
        <w:pStyle w:val="Heading1"/>
        <w:spacing w:after="100" w:before="220"/>
      </w:pPr>
      <w:r>
        <w:rPr>
          <w:b/>
          <w:bCs/>
          <w:color w:val="1F3864"/>
          <w:sz w:val="30"/>
          <w:szCs w:val="30"/>
        </w:rPr>
        <w:t xml:space="preserve">B. Open questions / decisions pending</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560"/>
        <w:gridCol w:w="3900"/>
        <w:gridCol w:w="5200"/>
        <w:gridCol w:w="3300"/>
      </w:tblGrid>
      <w:tr>
        <w:trPr>
          <w:tblHeader/>
        </w:trPr>
        <w:tc>
          <w:tcPr>
            <w:tcW w:type="dxa" w:w="560"/>
            <w:tcBorders>
              <w:top w:val="single" w:color="C9D2E0" w:sz="4"/>
              <w:left w:val="single" w:color="C9D2E0" w:sz="4"/>
              <w:bottom w:val="single" w:color="C9D2E0" w:sz="4"/>
              <w:right w:val="single" w:color="C9D2E0" w:sz="4"/>
            </w:tcBorders>
            <w:shd w:fill="2E75B6" w:color="auto" w:val="clear"/>
            <w:tcMar>
              <w:top w:type="dxa" w:w="60"/>
              <w:left w:type="dxa" w:w="90"/>
              <w:bottom w:type="dxa" w:w="60"/>
              <w:right w:type="dxa" w:w="90"/>
            </w:tcMar>
          </w:tcPr>
          <w:p>
            <w:pPr>
              <w:spacing w:after="0"/>
            </w:pPr>
            <w:r>
              <w:rPr>
                <w:b/>
                <w:bCs/>
                <w:i w:val="false"/>
                <w:iCs w:val="false"/>
                <w:color w:val="FFFFFF"/>
                <w:sz w:val="18"/>
                <w:szCs w:val="18"/>
              </w:rPr>
              <w:t xml:space="preserve">#</w:t>
            </w:r>
          </w:p>
        </w:tc>
        <w:tc>
          <w:tcPr>
            <w:tcW w:type="dxa" w:w="3900"/>
            <w:tcBorders>
              <w:top w:val="single" w:color="C9D2E0" w:sz="4"/>
              <w:left w:val="single" w:color="C9D2E0" w:sz="4"/>
              <w:bottom w:val="single" w:color="C9D2E0" w:sz="4"/>
              <w:right w:val="single" w:color="C9D2E0" w:sz="4"/>
            </w:tcBorders>
            <w:shd w:fill="2E75B6" w:color="auto" w:val="clear"/>
            <w:tcMar>
              <w:top w:type="dxa" w:w="60"/>
              <w:left w:type="dxa" w:w="90"/>
              <w:bottom w:type="dxa" w:w="60"/>
              <w:right w:type="dxa" w:w="90"/>
            </w:tcMar>
          </w:tcPr>
          <w:p>
            <w:pPr>
              <w:spacing w:after="0"/>
            </w:pPr>
            <w:r>
              <w:rPr>
                <w:b/>
                <w:bCs/>
                <w:i w:val="false"/>
                <w:iCs w:val="false"/>
                <w:color w:val="FFFFFF"/>
                <w:sz w:val="18"/>
                <w:szCs w:val="18"/>
              </w:rPr>
              <w:t xml:space="preserve">Question</w:t>
            </w:r>
          </w:p>
        </w:tc>
        <w:tc>
          <w:tcPr>
            <w:tcW w:type="dxa" w:w="5200"/>
            <w:tcBorders>
              <w:top w:val="single" w:color="C9D2E0" w:sz="4"/>
              <w:left w:val="single" w:color="C9D2E0" w:sz="4"/>
              <w:bottom w:val="single" w:color="C9D2E0" w:sz="4"/>
              <w:right w:val="single" w:color="C9D2E0" w:sz="4"/>
            </w:tcBorders>
            <w:shd w:fill="2E75B6" w:color="auto" w:val="clear"/>
            <w:tcMar>
              <w:top w:type="dxa" w:w="60"/>
              <w:left w:type="dxa" w:w="90"/>
              <w:bottom w:type="dxa" w:w="60"/>
              <w:right w:type="dxa" w:w="90"/>
            </w:tcMar>
          </w:tcPr>
          <w:p>
            <w:pPr>
              <w:spacing w:after="0"/>
            </w:pPr>
            <w:r>
              <w:rPr>
                <w:b/>
                <w:bCs/>
                <w:i w:val="false"/>
                <w:iCs w:val="false"/>
                <w:color w:val="FFFFFF"/>
                <w:sz w:val="18"/>
                <w:szCs w:val="18"/>
              </w:rPr>
              <w:t xml:space="preserve">Options / current lean</w:t>
            </w:r>
          </w:p>
        </w:tc>
        <w:tc>
          <w:tcPr>
            <w:tcW w:type="dxa" w:w="3300"/>
            <w:tcBorders>
              <w:top w:val="single" w:color="C9D2E0" w:sz="4"/>
              <w:left w:val="single" w:color="C9D2E0" w:sz="4"/>
              <w:bottom w:val="single" w:color="C9D2E0" w:sz="4"/>
              <w:right w:val="single" w:color="C9D2E0" w:sz="4"/>
            </w:tcBorders>
            <w:shd w:fill="2E75B6" w:color="auto" w:val="clear"/>
            <w:tcMar>
              <w:top w:type="dxa" w:w="60"/>
              <w:left w:type="dxa" w:w="90"/>
              <w:bottom w:type="dxa" w:w="60"/>
              <w:right w:type="dxa" w:w="90"/>
            </w:tcMar>
          </w:tcPr>
          <w:p>
            <w:pPr>
              <w:spacing w:after="0"/>
            </w:pPr>
            <w:r>
              <w:rPr>
                <w:b/>
                <w:bCs/>
                <w:i w:val="false"/>
                <w:iCs w:val="false"/>
                <w:color w:val="FFFFFF"/>
                <w:sz w:val="18"/>
                <w:szCs w:val="18"/>
              </w:rPr>
              <w:t xml:space="preserve">Depends on</w:t>
            </w:r>
          </w:p>
        </w:tc>
      </w:tr>
      <w:tr>
        <w:tc>
          <w:tcPr>
            <w:tcW w:type="dxa" w:w="56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B1</w:t>
            </w:r>
          </w:p>
        </w:tc>
        <w:tc>
          <w:tcPr>
            <w:tcW w:type="dxa" w:w="39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Material “actual” = committed or received?</w:t>
            </w:r>
          </w:p>
        </w:tc>
        <w:tc>
          <w:tcPr>
            <w:tcW w:type="dxa" w:w="52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Shipped as committed (ordered); received is truer but lags</w:t>
            </w:r>
          </w:p>
        </w:tc>
        <w:tc>
          <w:tcPr>
            <w:tcW w:type="dxa" w:w="33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console_diag_material_actual.py output</w:t>
            </w:r>
          </w:p>
        </w:tc>
      </w:tr>
      <w:tr>
        <w:tc>
          <w:tcPr>
            <w:tcW w:type="dxa" w:w="56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B2</w:t>
            </w:r>
          </w:p>
        </w:tc>
        <w:tc>
          <w:tcPr>
            <w:tcW w:type="dxa" w:w="39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Delta window = 2 weeks or 1 week?</w:t>
            </w:r>
          </w:p>
        </w:tc>
        <w:tc>
          <w:tcPr>
            <w:tcW w:type="dxa" w:w="52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Built 14-day; pack tracks 1-week — reconcile</w:t>
            </w:r>
          </w:p>
        </w:tc>
        <w:tc>
          <w:tcPr>
            <w:tcW w:type="dxa" w:w="33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A8</w:t>
            </w:r>
          </w:p>
        </w:tc>
      </w:tr>
      <w:tr>
        <w:tc>
          <w:tcPr>
            <w:tcW w:type="dxa" w:w="56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B3</w:t>
            </w:r>
          </w:p>
        </w:tc>
        <w:tc>
          <w:tcPr>
            <w:tcW w:type="dxa" w:w="39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Plan “activity” = which ETO entity? (current thread)</w:t>
            </w:r>
          </w:p>
        </w:tc>
        <w:tc>
          <w:tcPr>
            <w:tcW w:type="dxa" w:w="52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Lean: spec (tblSpec) × discipline (ties to both labour + material actuals); alternatives: Hour Description (category) or process-schedule task (sparse)</w:t>
            </w:r>
          </w:p>
        </w:tc>
        <w:tc>
          <w:tcPr>
            <w:tcW w:type="dxa" w:w="33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ETO activity/spec probe (to write)</w:t>
            </w:r>
          </w:p>
        </w:tc>
      </w:tr>
      <w:tr>
        <w:tc>
          <w:tcPr>
            <w:tcW w:type="dxa" w:w="56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B4</w:t>
            </w:r>
          </w:p>
        </w:tc>
        <w:tc>
          <w:tcPr>
            <w:tcW w:type="dxa" w:w="39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Activity weight governance</w:t>
            </w:r>
          </w:p>
        </w:tc>
        <w:tc>
          <w:tcPr>
            <w:tcW w:type="dxa" w:w="52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Capture weight + who set it now; 3-party sign-off workflow later?</w:t>
            </w:r>
          </w:p>
        </w:tc>
        <w:tc>
          <w:tcPr>
            <w:tcW w:type="dxa" w:w="33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B3</w:t>
            </w:r>
          </w:p>
        </w:tc>
      </w:tr>
      <w:tr>
        <w:tc>
          <w:tcPr>
            <w:tcW w:type="dxa" w:w="56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B5</w:t>
            </w:r>
          </w:p>
        </w:tc>
        <w:tc>
          <w:tcPr>
            <w:tcW w:type="dxa" w:w="39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Wire derived run-out (consumed ÷ % done) into the plan form as a suggested value?</w:t>
            </w:r>
          </w:p>
        </w:tc>
        <w:tc>
          <w:tcPr>
            <w:tcW w:type="dxa" w:w="52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Offered; keeps PM override</w:t>
            </w:r>
          </w:p>
        </w:tc>
        <w:tc>
          <w:tcPr>
            <w:tcW w:type="dxa" w:w="33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plan form live</w:t>
            </w:r>
          </w:p>
        </w:tc>
      </w:tr>
      <w:tr>
        <w:tc>
          <w:tcPr>
            <w:tcW w:type="dxa" w:w="56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B6</w:t>
            </w:r>
          </w:p>
        </w:tc>
        <w:tc>
          <w:tcPr>
            <w:tcW w:type="dxa" w:w="39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Derive % Done objectively from the allocation (ETO actual hrs ÷ allocated) to replace the typed %?</w:t>
            </w:r>
          </w:p>
        </w:tc>
        <w:tc>
          <w:tcPr>
            <w:tcW w:type="dxa" w:w="52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The end goal; needs B3 grain + weights</w:t>
            </w:r>
          </w:p>
        </w:tc>
        <w:tc>
          <w:tcPr>
            <w:tcW w:type="dxa" w:w="33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B3, B4</w:t>
            </w:r>
          </w:p>
        </w:tc>
      </w:tr>
      <w:tr>
        <w:tc>
          <w:tcPr>
            <w:tcW w:type="dxa" w:w="56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B7</w:t>
            </w:r>
          </w:p>
        </w:tc>
        <w:tc>
          <w:tcPr>
            <w:tcW w:type="dxa" w:w="39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 Done 2-week delta — keep manual, or compute from weekly snapshots once the plan form populates?</w:t>
            </w:r>
          </w:p>
        </w:tc>
        <w:tc>
          <w:tcPr>
            <w:tcW w:type="dxa" w:w="52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Manual today (% done not in ETO)</w:t>
            </w:r>
          </w:p>
        </w:tc>
        <w:tc>
          <w:tcPr>
            <w:tcW w:type="dxa" w:w="33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plan form adoption</w:t>
            </w:r>
          </w:p>
        </w:tc>
      </w:tr>
      <w:tr>
        <w:tc>
          <w:tcPr>
            <w:tcW w:type="dxa" w:w="56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B8</w:t>
            </w:r>
          </w:p>
        </w:tc>
        <w:tc>
          <w:tcPr>
            <w:tcW w:type="dxa" w:w="39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Electrical Procurement → Project Management or Electrical Engineering? (Budgets vs Asset Re-Code clash)</w:t>
            </w:r>
          </w:p>
        </w:tc>
        <w:tc>
          <w:tcPr>
            <w:tcW w:type="dxa" w:w="52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Unresolved since 2026-07-18</w:t>
            </w:r>
          </w:p>
        </w:tc>
        <w:tc>
          <w:tcPr>
            <w:tcW w:type="dxa" w:w="33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owner call</w:t>
            </w:r>
          </w:p>
        </w:tc>
      </w:tr>
      <w:tr>
        <w:tc>
          <w:tcPr>
            <w:tcW w:type="dxa" w:w="56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B9</w:t>
            </w:r>
          </w:p>
        </w:tc>
        <w:tc>
          <w:tcPr>
            <w:tcW w:type="dxa" w:w="39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Retire the spreadsheet sync once budget + plan web forms are adopted?</w:t>
            </w:r>
          </w:p>
        </w:tc>
        <w:tc>
          <w:tcPr>
            <w:tcW w:type="dxa" w:w="52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Transition plan; both write during overlap</w:t>
            </w:r>
          </w:p>
        </w:tc>
        <w:tc>
          <w:tcPr>
            <w:tcW w:type="dxa" w:w="33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A15</w:t>
            </w:r>
          </w:p>
        </w:tc>
      </w:tr>
      <w:tr>
        <w:tc>
          <w:tcPr>
            <w:tcW w:type="dxa" w:w="56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B10</w:t>
            </w:r>
          </w:p>
        </w:tc>
        <w:tc>
          <w:tcPr>
            <w:tcW w:type="dxa" w:w="39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Build the NCR Aging report (open NCRs by age bucket)?</w:t>
            </w:r>
          </w:p>
        </w:tc>
        <w:tc>
          <w:tcPr>
            <w:tcW w:type="dxa" w:w="52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Data supports it (CreationDate); not built</w:t>
            </w:r>
          </w:p>
        </w:tc>
        <w:tc>
          <w:tcPr>
            <w:tcW w:type="dxa" w:w="33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owner priority</w:t>
            </w:r>
          </w:p>
        </w:tc>
      </w:tr>
      <w:tr>
        <w:tc>
          <w:tcPr>
            <w:tcW w:type="dxa" w:w="56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B11</w:t>
            </w:r>
          </w:p>
        </w:tc>
        <w:tc>
          <w:tcPr>
            <w:tcW w:type="dxa" w:w="39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Long-term home for discipline budget hours — Budgets tab vs Reporting.tblProjectEstimates?</w:t>
            </w:r>
          </w:p>
        </w:tc>
        <w:tc>
          <w:tcPr>
            <w:tcW w:type="dxa" w:w="52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Deferred (roadmap)</w:t>
            </w:r>
          </w:p>
        </w:tc>
        <w:tc>
          <w:tcPr>
            <w:tcW w:type="dxa" w:w="33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later phase</w:t>
            </w:r>
          </w:p>
        </w:tc>
      </w:tr>
    </w:tbl>
    <w:p>
      <w:pPr>
        <w:pStyle w:val="Heading1"/>
        <w:spacing w:after="100" w:before="220"/>
      </w:pPr>
      <w:r>
        <w:rPr>
          <w:b/>
          <w:bCs/>
          <w:color w:val="1F3864"/>
          <w:sz w:val="30"/>
          <w:szCs w:val="30"/>
        </w:rPr>
        <w:t xml:space="preserve">C. Probes — status</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3600"/>
        <w:gridCol w:w="7360"/>
        <w:gridCol w:w="2000"/>
      </w:tblGrid>
      <w:tr>
        <w:trPr>
          <w:tblHeader/>
        </w:trPr>
        <w:tc>
          <w:tcPr>
            <w:tcW w:type="dxa" w:w="3600"/>
            <w:tcBorders>
              <w:top w:val="single" w:color="C9D2E0" w:sz="4"/>
              <w:left w:val="single" w:color="C9D2E0" w:sz="4"/>
              <w:bottom w:val="single" w:color="C9D2E0" w:sz="4"/>
              <w:right w:val="single" w:color="C9D2E0" w:sz="4"/>
            </w:tcBorders>
            <w:shd w:fill="2E75B6" w:color="auto" w:val="clear"/>
            <w:tcMar>
              <w:top w:type="dxa" w:w="60"/>
              <w:left w:type="dxa" w:w="90"/>
              <w:bottom w:type="dxa" w:w="60"/>
              <w:right w:type="dxa" w:w="90"/>
            </w:tcMar>
          </w:tcPr>
          <w:p>
            <w:pPr>
              <w:spacing w:after="0"/>
            </w:pPr>
            <w:r>
              <w:rPr>
                <w:b/>
                <w:bCs/>
                <w:i w:val="false"/>
                <w:iCs w:val="false"/>
                <w:color w:val="FFFFFF"/>
                <w:sz w:val="18"/>
                <w:szCs w:val="18"/>
              </w:rPr>
              <w:t xml:space="preserve">Probe</w:t>
            </w:r>
          </w:p>
        </w:tc>
        <w:tc>
          <w:tcPr>
            <w:tcW w:type="dxa" w:w="7360"/>
            <w:tcBorders>
              <w:top w:val="single" w:color="C9D2E0" w:sz="4"/>
              <w:left w:val="single" w:color="C9D2E0" w:sz="4"/>
              <w:bottom w:val="single" w:color="C9D2E0" w:sz="4"/>
              <w:right w:val="single" w:color="C9D2E0" w:sz="4"/>
            </w:tcBorders>
            <w:shd w:fill="2E75B6" w:color="auto" w:val="clear"/>
            <w:tcMar>
              <w:top w:type="dxa" w:w="60"/>
              <w:left w:type="dxa" w:w="90"/>
              <w:bottom w:type="dxa" w:w="60"/>
              <w:right w:type="dxa" w:w="90"/>
            </w:tcMar>
          </w:tcPr>
          <w:p>
            <w:pPr>
              <w:spacing w:after="0"/>
            </w:pPr>
            <w:r>
              <w:rPr>
                <w:b/>
                <w:bCs/>
                <w:i w:val="false"/>
                <w:iCs w:val="false"/>
                <w:color w:val="FFFFFF"/>
                <w:sz w:val="18"/>
                <w:szCs w:val="18"/>
              </w:rPr>
              <w:t xml:space="preserve">Purpose</w:t>
            </w:r>
          </w:p>
        </w:tc>
        <w:tc>
          <w:tcPr>
            <w:tcW w:type="dxa" w:w="2000"/>
            <w:tcBorders>
              <w:top w:val="single" w:color="C9D2E0" w:sz="4"/>
              <w:left w:val="single" w:color="C9D2E0" w:sz="4"/>
              <w:bottom w:val="single" w:color="C9D2E0" w:sz="4"/>
              <w:right w:val="single" w:color="C9D2E0" w:sz="4"/>
            </w:tcBorders>
            <w:shd w:fill="2E75B6" w:color="auto" w:val="clear"/>
            <w:tcMar>
              <w:top w:type="dxa" w:w="60"/>
              <w:left w:type="dxa" w:w="90"/>
              <w:bottom w:type="dxa" w:w="60"/>
              <w:right w:type="dxa" w:w="90"/>
            </w:tcMar>
          </w:tcPr>
          <w:p>
            <w:pPr>
              <w:spacing w:after="0"/>
            </w:pPr>
            <w:r>
              <w:rPr>
                <w:b/>
                <w:bCs/>
                <w:i w:val="false"/>
                <w:iCs w:val="false"/>
                <w:color w:val="FFFFFF"/>
                <w:sz w:val="18"/>
                <w:szCs w:val="18"/>
              </w:rPr>
              <w:t xml:space="preserve">Status</w:t>
            </w:r>
          </w:p>
        </w:tc>
      </w:tr>
      <w:tr>
        <w:tc>
          <w:tcPr>
            <w:tcW w:type="dxa" w:w="36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console_diag_ncr*.py (4)</w:t>
            </w:r>
          </w:p>
        </w:tc>
        <w:tc>
          <w:tcPr>
            <w:tcW w:type="dxa" w:w="736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NC schema, costing procs, cost source</w:t>
            </w:r>
          </w:p>
        </w:tc>
        <w:tc>
          <w:tcPr>
            <w:tcW w:type="dxa" w:w="20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RUN — verified</w:t>
            </w:r>
          </w:p>
        </w:tc>
      </w:tr>
      <w:tr>
        <w:tc>
          <w:tcPr>
            <w:tcW w:type="dxa" w:w="36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console_diag_plan_activity.py</w:t>
            </w:r>
          </w:p>
        </w:tc>
        <w:tc>
          <w:tcPr>
            <w:tcW w:type="dxa" w:w="736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Spec list + actuals per spec + process-schedule presence (B3)</w:t>
            </w:r>
          </w:p>
        </w:tc>
        <w:tc>
          <w:tcPr>
            <w:tcW w:type="dxa" w:w="20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RUN — specs work; PS module exists</w:t>
            </w:r>
          </w:p>
        </w:tc>
      </w:tr>
      <w:tr>
        <w:tc>
          <w:tcPr>
            <w:tcW w:type="dxa" w:w="36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console_diag_pmentry.py</w:t>
            </w:r>
          </w:p>
        </w:tc>
        <w:tc>
          <w:tcPr>
            <w:tcW w:type="dxa" w:w="736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Plan write target + columns + week key (A14/A15/A17)</w:t>
            </w:r>
          </w:p>
        </w:tc>
        <w:tc>
          <w:tcPr>
            <w:tcW w:type="dxa" w:w="20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RUN — table exists, 0 rows</w:t>
            </w:r>
          </w:p>
        </w:tc>
      </w:tr>
      <w:tr>
        <w:tc>
          <w:tcPr>
            <w:tcW w:type="dxa" w:w="36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console_diag_po_active.py</w:t>
            </w:r>
          </w:p>
        </w:tc>
        <w:tc>
          <w:tcPr>
            <w:tcW w:type="dxa" w:w="736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PurchaseActive impact on committed (A1)</w:t>
            </w:r>
          </w:p>
        </w:tc>
        <w:tc>
          <w:tcPr>
            <w:tcW w:type="dxa" w:w="20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RUN — no-op, A1 closed</w:t>
            </w:r>
          </w:p>
        </w:tc>
      </w:tr>
      <w:tr>
        <w:tc>
          <w:tcPr>
            <w:tcW w:type="dxa" w:w="36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console_diag_process_schedule.py</w:t>
            </w:r>
          </w:p>
        </w:tc>
        <w:tc>
          <w:tcPr>
            <w:tcW w:type="dxa" w:w="736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Is the process schedule populated + progress-trackable? (B3)</w:t>
            </w:r>
          </w:p>
        </w:tc>
        <w:tc>
          <w:tcPr>
            <w:tcW w:type="dxa" w:w="20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Delivered — run pending</w:t>
            </w:r>
          </w:p>
        </w:tc>
      </w:tr>
      <w:tr>
        <w:tc>
          <w:tcPr>
            <w:tcW w:type="dxa" w:w="36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console_diag_nc_attribution.py</w:t>
            </w:r>
          </w:p>
        </w:tc>
        <w:tc>
          <w:tcPr>
            <w:tcW w:type="dxa" w:w="736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Origin→dept population; derived-discipline spread (A12)</w:t>
            </w:r>
          </w:p>
        </w:tc>
        <w:tc>
          <w:tcPr>
            <w:tcW w:type="dxa" w:w="20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Delivered — run pending</w:t>
            </w:r>
          </w:p>
        </w:tc>
      </w:tr>
      <w:tr>
        <w:tc>
          <w:tcPr>
            <w:tcW w:type="dxa" w:w="36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console_diag_material_actual.py</w:t>
            </w:r>
          </w:p>
        </w:tc>
        <w:tc>
          <w:tcPr>
            <w:tcW w:type="dxa" w:w="736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Committed vs received per project (A2/B1)</w:t>
            </w:r>
          </w:p>
        </w:tc>
        <w:tc>
          <w:tcPr>
            <w:tcW w:type="dxa" w:w="20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Delivered — run pending</w:t>
            </w:r>
          </w:p>
        </w:tc>
      </w:tr>
    </w:tbl>
    <w:p>
      <w:pPr>
        <w:spacing w:before="200"/>
      </w:pPr>
      <w:r>
        <w:rPr>
          <w:i/>
          <w:iCs/>
          <w:color w:val="6B7280"/>
          <w:sz w:val="18"/>
          <w:szCs w:val="18"/>
        </w:rPr>
        <w:t xml:space="preserve">How to use: run the pending / to-write probes on the box, paste output back, and we close the matching A-rows and B-decisions here. A single live acceptance pass on the app clears A19–A22.</w:t>
      </w:r>
    </w:p>
    <w:sectPr>
      <w:pgSz w:w="15840" w:h="12240" w:orient="landscape"/>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Project Console</dc:creator>
  <cp:lastModifiedBy>Un-named</cp:lastModifiedBy>
  <cp:revision>1</cp:revision>
  <dcterms:created xsi:type="dcterms:W3CDTF">2026-07-26T21:33:06.838Z</dcterms:created>
  <dcterms:modified xsi:type="dcterms:W3CDTF">2026-07-26T21:33:06.838Z</dcterms:modified>
</cp:coreProperties>
</file>

<file path=docProps/custom.xml><?xml version="1.0" encoding="utf-8"?>
<Properties xmlns="http://schemas.openxmlformats.org/officeDocument/2006/custom-properties" xmlns:vt="http://schemas.openxmlformats.org/officeDocument/2006/docPropsVTypes"/>
</file>