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864"/>
          <w:sz w:val="40"/>
          <w:szCs w:val="40"/>
        </w:rPr>
        <w:t xml:space="preserve">Project Console</w:t>
      </w:r>
    </w:p>
    <w:p>
      <w:pPr>
        <w:spacing w:after="40"/>
      </w:pPr>
      <w:r>
        <w:rPr>
          <w:b/>
          <w:bCs/>
          <w:color w:val="2E75B6"/>
          <w:sz w:val="26"/>
          <w:szCs w:val="26"/>
        </w:rPr>
        <w:t xml:space="preserve">Verification &amp; Open-Questions Register</w:t>
      </w:r>
    </w:p>
    <w:p>
      <w:pPr>
        <w:spacing w:after="90"/>
      </w:pPr>
      <w:r>
        <w:rPr>
          <w:color w:val="6B7280"/>
          <w:sz w:val="19"/>
          <w:szCs w:val="19"/>
        </w:rPr>
        <w:t xml:space="preserve">Owner: Vijay Nair (IT)   ·   Started: 2026-07-26   ·   Living document — update as items close.</w:t>
      </w:r>
    </w:p>
    <w:p>
      <w:pPr>
        <w:spacing w:after="90"/>
      </w:pPr>
      <w:r>
        <w:rPr>
          <w:sz w:val="19"/>
          <w:szCs w:val="19"/>
        </w:rPr>
        <w:t xml:space="preserve">Tracks (A) assumptions baked into the build that need live verification, (B) open decisions pending, and (C) probes delivered but not yet run. Nothing here is confirmed until checked on the domain-joined box — the build environment has no ETO/DB access.</w:t>
      </w:r>
    </w:p>
    <w:p>
      <w:pPr>
        <w:pStyle w:val="Heading1"/>
        <w:spacing w:after="100" w:before="220"/>
      </w:pPr>
      <w:r>
        <w:rPr>
          <w:b/>
          <w:bCs/>
          <w:color w:val="1F3864"/>
          <w:sz w:val="30"/>
          <w:szCs w:val="30"/>
        </w:rPr>
        <w:t xml:space="preserve">Probe run — 2026-07-26: resolutions</w:t>
      </w:r>
    </w:p>
    <w:p>
      <w:pPr>
        <w:spacing w:after="90"/>
      </w:pPr>
      <w:r>
        <w:rPr>
          <w:sz w:val="19"/>
          <w:szCs w:val="19"/>
        </w:rPr>
        <w:t xml:space="preserve">A1 (PurchaseActive undercount) — RESOLVED, no issue: committed material is identical with and without the filter (230219 = $2,331,491.80), and all 38,185 POs are active. The filter is a no-op.</w:t>
      </w:r>
    </w:p>
    <w:p>
      <w:pPr>
        <w:spacing w:after="90"/>
      </w:pPr>
      <w:r>
        <w:rPr>
          <w:sz w:val="19"/>
          <w:szCs w:val="19"/>
        </w:rPr>
        <w:t xml:space="preserve">A14 (plan write target) — RESOLVED: tblProjectPMEntry exists with every column the plan form writes.</w:t>
      </w:r>
    </w:p>
    <w:p>
      <w:pPr>
        <w:spacing w:after="90"/>
      </w:pPr>
      <w:r>
        <w:rPr>
          <w:sz w:val="19"/>
          <w:szCs w:val="19"/>
        </w:rPr>
        <w:t xml:space="preserve">A15/A17 — SOFTENED: tblProjectPMEntry has 0 rows (PM side never loaded), so no web-vs-sync key collision today. This also explains the blank Schedule / % Done / run-out / procurement cells on the live board — there is no PM data yet.</w:t>
      </w:r>
    </w:p>
    <w:p>
      <w:pPr>
        <w:spacing w:after="90"/>
      </w:pPr>
      <w:r>
        <w:rPr>
          <w:sz w:val="19"/>
          <w:szCs w:val="19"/>
        </w:rPr>
        <w:t xml:space="preserve">B3 (what is an “activity”) — RESOLVED: anchor on SPEC. ETO's process schedule is broad (3,774 headers / 143 projects) but is a parts/fabrication tracker — hours=0, no durations, Sequence always 1 — not a plan. So the PM picks from the spec list (tblSpec); labour + material attach per spec (objective %); sub-spec units of work are console-authored.</w:t>
      </w:r>
    </w:p>
    <w:p>
      <w:pPr>
        <w:pStyle w:val="Heading1"/>
        <w:spacing w:after="100" w:before="220"/>
      </w:pPr>
      <w:r>
        <w:rPr>
          <w:b/>
          <w:bCs/>
          <w:color w:val="1F3864"/>
          <w:sz w:val="30"/>
          <w:szCs w:val="30"/>
        </w:rPr>
        <w:t xml:space="preserve">A. Assumptions to verify</w:t>
      </w:r>
    </w:p>
    <w:p>
      <w:pPr>
        <w:spacing w:after="90"/>
      </w:pPr>
      <w:r>
        <w:rPr>
          <w:i/>
          <w:iCs/>
          <w:color w:val="6B7280"/>
          <w:sz w:val="19"/>
          <w:szCs w:val="19"/>
        </w:rPr>
        <w:t xml:space="preserve">Each row: what was assumed in code, why it matters if wrong, and how to check.</w:t>
      </w:r>
    </w:p>
    <w:p>
      <w:pPr>
        <w:spacing w:after="70" w:before="140"/>
      </w:pPr>
      <w:r>
        <w:rPr>
          <w:b/>
          <w:bCs/>
          <w:color w:val="1F3864"/>
          <w:sz w:val="20"/>
          <w:szCs w:val="20"/>
        </w:rPr>
        <w:t xml:space="preserve">Material Actual (derived = committed PO value)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640"/>
        <w:gridCol w:w="4200"/>
        <w:gridCol w:w="4120"/>
        <w:gridCol w:w="4000"/>
      </w:tblGrid>
      <w:tr>
        <w:trPr>
          <w:tblHeader/>
        </w:trPr>
        <w:tc>
          <w:tcPr>
            <w:tcW w:type="dxa" w:w="64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w:t>
            </w:r>
          </w:p>
        </w:tc>
        <w:tc>
          <w:tcPr>
            <w:tcW w:type="dxa" w:w="42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Assumption</w:t>
            </w:r>
          </w:p>
        </w:tc>
        <w:tc>
          <w:tcPr>
            <w:tcW w:type="dxa" w:w="412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Why it matters</w:t>
            </w:r>
          </w:p>
        </w:tc>
        <w:tc>
          <w:tcPr>
            <w:tcW w:type="dxa" w:w="40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How to verify</w:t>
            </w:r>
          </w:p>
        </w:tc>
      </w:tr>
      <w:tr>
        <w:tc>
          <w:tcPr>
            <w:tcW w:type="dxa" w:w="64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A1</w:t>
            </w:r>
          </w:p>
        </w:tc>
        <w:tc>
          <w:tcPr>
            <w:tcW w:type="dxa" w:w="4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 RESOLVED — PurchaseActive=1 is a no-op (all 38,185 POs active); committed not undercounted</w:t>
            </w:r>
          </w:p>
        </w:tc>
        <w:tc>
          <w:tcPr>
            <w:tcW w:type="dxa" w:w="412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w:t>
            </w:r>
          </w:p>
        </w:tc>
        <w:tc>
          <w:tcPr>
            <w:tcW w:type="dxa" w:w="4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Closed by console_diag_po_active.py</w:t>
            </w:r>
          </w:p>
        </w:tc>
      </w:tr>
      <w:tr>
        <w:tc>
          <w:tcPr>
            <w:tcW w:type="dxa" w:w="64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A2</w:t>
            </w:r>
          </w:p>
        </w:tc>
        <w:tc>
          <w:tcPr>
            <w:tcW w:type="dxa" w:w="4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Material Actual = committed (ordered) is the right definition of “actual”</w:t>
            </w:r>
          </w:p>
        </w:tc>
        <w:tc>
          <w:tcPr>
            <w:tcW w:type="dxa" w:w="412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Received/invoiced may be truer; changes every material %/variance</w:t>
            </w:r>
          </w:p>
        </w:tc>
        <w:tc>
          <w:tcPr>
            <w:tcW w:type="dxa" w:w="40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Run console_diag_material_actual.py (committed vs received); owner picks — see B1</w:t>
            </w:r>
          </w:p>
        </w:tc>
      </w:tr>
      <w:tr>
        <w:tc>
          <w:tcPr>
            <w:tcW w:type="dxa" w:w="64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A3</w:t>
            </w:r>
          </w:p>
        </w:tc>
        <w:tc>
          <w:tcPr>
            <w:tcW w:type="dxa" w:w="4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ExtendedPrice × PurchaseCurrRate (rate≤0→1) gives the CAD line value</w:t>
            </w:r>
          </w:p>
        </w:tc>
        <w:tc>
          <w:tcPr>
            <w:tcW w:type="dxa" w:w="412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FX tail (USD@1.0 rows) understates; wrong column misstates spend</w:t>
            </w:r>
          </w:p>
        </w:tc>
        <w:tc>
          <w:tcPr>
            <w:tcW w:type="dxa" w:w="4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Spot-check one USD PO's converted value vs the ETO screen</w:t>
            </w:r>
          </w:p>
        </w:tc>
      </w:tr>
      <w:tr>
        <w:tc>
          <w:tcPr>
            <w:tcW w:type="dxa" w:w="64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A4</w:t>
            </w:r>
          </w:p>
        </w:tc>
        <w:tc>
          <w:tcPr>
            <w:tcW w:type="dxa" w:w="4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vwPurchaseOrderDetails.ProjectID scopes correctly</w:t>
            </w:r>
          </w:p>
        </w:tc>
        <w:tc>
          <w:tcPr>
            <w:tcW w:type="dxa" w:w="412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Wrong scoping mis-attributes spend</w:t>
            </w:r>
          </w:p>
        </w:tc>
        <w:tc>
          <w:tcPr>
            <w:tcW w:type="dxa" w:w="40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Verified for 230219; re-confirm on 2–3 more projects</w:t>
            </w:r>
          </w:p>
        </w:tc>
      </w:tr>
    </w:tbl>
    <w:p>
      <w:pPr>
        <w:spacing w:after="70" w:before="140"/>
      </w:pPr>
      <w:r>
        <w:rPr>
          <w:b/>
          <w:bCs/>
          <w:color w:val="1F3864"/>
          <w:sz w:val="20"/>
          <w:szCs w:val="20"/>
        </w:rPr>
        <w:t xml:space="preserve">Procurement (exec board)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640"/>
        <w:gridCol w:w="4200"/>
        <w:gridCol w:w="4120"/>
        <w:gridCol w:w="4000"/>
      </w:tblGrid>
      <w:tr>
        <w:trPr>
          <w:tblHeader/>
        </w:trPr>
        <w:tc>
          <w:tcPr>
            <w:tcW w:type="dxa" w:w="64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w:t>
            </w:r>
          </w:p>
        </w:tc>
        <w:tc>
          <w:tcPr>
            <w:tcW w:type="dxa" w:w="42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Assumption</w:t>
            </w:r>
          </w:p>
        </w:tc>
        <w:tc>
          <w:tcPr>
            <w:tcW w:type="dxa" w:w="412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Why it matters</w:t>
            </w:r>
          </w:p>
        </w:tc>
        <w:tc>
          <w:tcPr>
            <w:tcW w:type="dxa" w:w="40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How to verify</w:t>
            </w:r>
          </w:p>
        </w:tc>
      </w:tr>
      <w:tr>
        <w:tc>
          <w:tcPr>
            <w:tcW w:type="dxa" w:w="64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A5</w:t>
            </w:r>
          </w:p>
        </w:tc>
        <w:tc>
          <w:tcPr>
            <w:tcW w:type="dxa" w:w="4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Line Items = count of all PO detail lines per project</w:t>
            </w:r>
          </w:p>
        </w:tc>
        <w:tc>
          <w:tcPr>
            <w:tcW w:type="dxa" w:w="412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May differ from the manual “Total Line Items” definition</w:t>
            </w:r>
          </w:p>
        </w:tc>
        <w:tc>
          <w:tcPr>
            <w:tcW w:type="dxa" w:w="4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Reconcile computed count vs a known project's manual figure</w:t>
            </w:r>
          </w:p>
        </w:tc>
      </w:tr>
      <w:tr>
        <w:tc>
          <w:tcPr>
            <w:tcW w:type="dxa" w:w="64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A6</w:t>
            </w:r>
          </w:p>
        </w:tc>
        <w:tc>
          <w:tcPr>
            <w:tcW w:type="dxa" w:w="4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LLTP Del. Late = items with LLT flag AND delivered-late</w:t>
            </w:r>
          </w:p>
        </w:tc>
        <w:tc>
          <w:tcPr>
            <w:tcW w:type="dxa" w:w="412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Needs the item-master LLT flag populated; semantics must match the manual field</w:t>
            </w:r>
          </w:p>
        </w:tc>
        <w:tc>
          <w:tcPr>
            <w:tcW w:type="dxa" w:w="40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Confirm LLT flag (tblEngItemMaster PartCustom7) is maintained; reconcile on a project</w:t>
            </w:r>
          </w:p>
        </w:tc>
      </w:tr>
      <w:tr>
        <w:tc>
          <w:tcPr>
            <w:tcW w:type="dxa" w:w="64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A7</w:t>
            </w:r>
          </w:p>
        </w:tc>
        <w:tc>
          <w:tcPr>
            <w:tcW w:type="dxa" w:w="4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Ordered-late / Released-late are NOT derivable (no lead time / planned-release date) → stay manual</w:t>
            </w:r>
          </w:p>
        </w:tc>
        <w:tc>
          <w:tcPr>
            <w:tcW w:type="dxa" w:w="412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If a usable field exists, we're leaving value on the table</w:t>
            </w:r>
          </w:p>
        </w:tc>
        <w:tc>
          <w:tcPr>
            <w:tcW w:type="dxa" w:w="4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Re-confirm item lead time is empty and no planned-release date is maintained</w:t>
            </w:r>
          </w:p>
        </w:tc>
      </w:tr>
    </w:tbl>
    <w:p>
      <w:pPr>
        <w:spacing w:after="70" w:before="140"/>
      </w:pPr>
      <w:r>
        <w:rPr>
          <w:b/>
          <w:bCs/>
          <w:color w:val="1F3864"/>
          <w:sz w:val="20"/>
          <w:szCs w:val="20"/>
        </w:rPr>
        <w:t xml:space="preserve">2-Week deltas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640"/>
        <w:gridCol w:w="4200"/>
        <w:gridCol w:w="4120"/>
        <w:gridCol w:w="4000"/>
      </w:tblGrid>
      <w:tr>
        <w:trPr>
          <w:tblHeader/>
        </w:trPr>
        <w:tc>
          <w:tcPr>
            <w:tcW w:type="dxa" w:w="64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w:t>
            </w:r>
          </w:p>
        </w:tc>
        <w:tc>
          <w:tcPr>
            <w:tcW w:type="dxa" w:w="42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Assumption</w:t>
            </w:r>
          </w:p>
        </w:tc>
        <w:tc>
          <w:tcPr>
            <w:tcW w:type="dxa" w:w="412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Why it matters</w:t>
            </w:r>
          </w:p>
        </w:tc>
        <w:tc>
          <w:tcPr>
            <w:tcW w:type="dxa" w:w="40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How to verify</w:t>
            </w:r>
          </w:p>
        </w:tc>
      </w:tr>
      <w:tr>
        <w:tc>
          <w:tcPr>
            <w:tcW w:type="dxa" w:w="64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A8</w:t>
            </w:r>
          </w:p>
        </w:tc>
        <w:tc>
          <w:tcPr>
            <w:tcW w:type="dxa" w:w="4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“2-week” = trailing 14 calendar days ending today</w:t>
            </w:r>
          </w:p>
        </w:tc>
        <w:tc>
          <w:tcPr>
            <w:tcW w:type="dxa" w:w="412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Pack schema notes it may be a 1-week delta; wrong window mis-sizes the delta</w:t>
            </w:r>
          </w:p>
        </w:tc>
        <w:tc>
          <w:tcPr>
            <w:tcW w:type="dxa" w:w="4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Reconcile computed Δ vs the workbook's delta for a project — see B2</w:t>
            </w:r>
          </w:p>
        </w:tc>
      </w:tr>
      <w:tr>
        <w:tc>
          <w:tcPr>
            <w:tcW w:type="dxa" w:w="64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A9</w:t>
            </w:r>
          </w:p>
        </w:tc>
        <w:tc>
          <w:tcPr>
            <w:tcW w:type="dxa" w:w="4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Material Δ = PO value committed (placed) in the window</w:t>
            </w:r>
          </w:p>
        </w:tc>
        <w:tc>
          <w:tcPr>
            <w:tcW w:type="dxa" w:w="412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Received-in-window may be intended instead</w:t>
            </w:r>
          </w:p>
        </w:tc>
        <w:tc>
          <w:tcPr>
            <w:tcW w:type="dxa" w:w="40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Same probe/decision as B1/B2</w:t>
            </w:r>
          </w:p>
        </w:tc>
      </w:tr>
    </w:tbl>
    <w:p>
      <w:pPr>
        <w:spacing w:after="70" w:before="140"/>
      </w:pPr>
      <w:r>
        <w:rPr>
          <w:b/>
          <w:bCs/>
          <w:color w:val="1F3864"/>
          <w:sz w:val="20"/>
          <w:szCs w:val="20"/>
        </w:rPr>
        <w:t xml:space="preserve">Non-Conformance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640"/>
        <w:gridCol w:w="4200"/>
        <w:gridCol w:w="4120"/>
        <w:gridCol w:w="4000"/>
      </w:tblGrid>
      <w:tr>
        <w:trPr>
          <w:tblHeader/>
        </w:trPr>
        <w:tc>
          <w:tcPr>
            <w:tcW w:type="dxa" w:w="64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w:t>
            </w:r>
          </w:p>
        </w:tc>
        <w:tc>
          <w:tcPr>
            <w:tcW w:type="dxa" w:w="42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Assumption</w:t>
            </w:r>
          </w:p>
        </w:tc>
        <w:tc>
          <w:tcPr>
            <w:tcW w:type="dxa" w:w="412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Why it matters</w:t>
            </w:r>
          </w:p>
        </w:tc>
        <w:tc>
          <w:tcPr>
            <w:tcW w:type="dxa" w:w="40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How to verify</w:t>
            </w:r>
          </w:p>
        </w:tc>
      </w:tr>
      <w:tr>
        <w:tc>
          <w:tcPr>
            <w:tcW w:type="dxa" w:w="64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A10</w:t>
            </w:r>
          </w:p>
        </w:tc>
        <w:tc>
          <w:tcPr>
            <w:tcW w:type="dxa" w:w="4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vwCostingSummed_ByNC has a (zero-filled) row per NCR for all projects (LEFT JOIN guard in place)</w:t>
            </w:r>
          </w:p>
        </w:tc>
        <w:tc>
          <w:tcPr>
            <w:tcW w:type="dxa" w:w="412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INNER would drop zero-cost NCRs; verified 46/46 on 230219 only</w:t>
            </w:r>
          </w:p>
        </w:tc>
        <w:tc>
          <w:tcPr>
            <w:tcW w:type="dxa" w:w="4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Re-check coverage on a few more projects</w:t>
            </w:r>
          </w:p>
        </w:tc>
      </w:tr>
      <w:tr>
        <w:tc>
          <w:tcPr>
            <w:tcW w:type="dxa" w:w="64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A11</w:t>
            </w:r>
          </w:p>
        </w:tc>
        <w:tc>
          <w:tcPr>
            <w:tcW w:type="dxa" w:w="4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Labour-cost-of-NC ≈ $0 portfolio-wide (no time booked to NCs)</w:t>
            </w:r>
          </w:p>
        </w:tc>
        <w:tc>
          <w:tcPr>
            <w:tcW w:type="dxa" w:w="412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If some projects book rework time, cost-of-NC understated</w:t>
            </w:r>
          </w:p>
        </w:tc>
        <w:tc>
          <w:tcPr>
            <w:tcW w:type="dxa" w:w="40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Sum LaborCostingValue across all NCs</w:t>
            </w:r>
          </w:p>
        </w:tc>
      </w:tr>
      <w:tr>
        <w:tc>
          <w:tcPr>
            <w:tcW w:type="dxa" w:w="64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A12</w:t>
            </w:r>
          </w:p>
        </w:tc>
        <w:tc>
          <w:tcPr>
            <w:tcW w:type="dxa" w:w="4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Derived discipline-from-origin keyword map is good enough; ETO DepartmentName is populated</w:t>
            </w:r>
          </w:p>
        </w:tc>
        <w:tc>
          <w:tcPr>
            <w:tcW w:type="dxa" w:w="412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Too much lands in “Other” → weak attribution</w:t>
            </w:r>
          </w:p>
        </w:tc>
        <w:tc>
          <w:tcPr>
            <w:tcW w:type="dxa" w:w="4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Run console_diag_nc_attribution.py (pending)</w:t>
            </w:r>
          </w:p>
        </w:tc>
      </w:tr>
      <w:tr>
        <w:tc>
          <w:tcPr>
            <w:tcW w:type="dxa" w:w="64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A13</w:t>
            </w:r>
          </w:p>
        </w:tc>
        <w:tc>
          <w:tcPr>
            <w:tcW w:type="dxa" w:w="4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NC Costing totals equal EXEC urpNonConformancesWithCosts</w:t>
            </w:r>
          </w:p>
        </w:tc>
        <w:tc>
          <w:tcPr>
            <w:tcW w:type="dxa" w:w="412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Divergence = transcription error</w:t>
            </w:r>
          </w:p>
        </w:tc>
        <w:tc>
          <w:tcPr>
            <w:tcW w:type="dxa" w:w="40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Spot-checked 230219; re-check a second project</w:t>
            </w:r>
          </w:p>
        </w:tc>
      </w:tr>
    </w:tbl>
    <w:p>
      <w:pPr>
        <w:spacing w:after="70" w:before="140"/>
      </w:pPr>
      <w:r>
        <w:rPr>
          <w:b/>
          <w:bCs/>
          <w:color w:val="1F3864"/>
          <w:sz w:val="20"/>
          <w:szCs w:val="20"/>
        </w:rPr>
        <w:t xml:space="preserve">Plan interface (tblProjectPMEntry)</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640"/>
        <w:gridCol w:w="4200"/>
        <w:gridCol w:w="4120"/>
        <w:gridCol w:w="4000"/>
      </w:tblGrid>
      <w:tr>
        <w:trPr>
          <w:tblHeader/>
        </w:trPr>
        <w:tc>
          <w:tcPr>
            <w:tcW w:type="dxa" w:w="64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w:t>
            </w:r>
          </w:p>
        </w:tc>
        <w:tc>
          <w:tcPr>
            <w:tcW w:type="dxa" w:w="42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Assumption</w:t>
            </w:r>
          </w:p>
        </w:tc>
        <w:tc>
          <w:tcPr>
            <w:tcW w:type="dxa" w:w="412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Why it matters</w:t>
            </w:r>
          </w:p>
        </w:tc>
        <w:tc>
          <w:tcPr>
            <w:tcW w:type="dxa" w:w="40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How to verify</w:t>
            </w:r>
          </w:p>
        </w:tc>
      </w:tr>
      <w:tr>
        <w:tc>
          <w:tcPr>
            <w:tcW w:type="dxa" w:w="64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A14</w:t>
            </w:r>
          </w:p>
        </w:tc>
        <w:tc>
          <w:tcPr>
            <w:tcW w:type="dxa" w:w="4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 RESOLVED — tblProjectPMEntry exists with all expected columns (but 0 rows: PM side never loaded)</w:t>
            </w:r>
          </w:p>
        </w:tc>
        <w:tc>
          <w:tcPr>
            <w:tcW w:type="dxa" w:w="412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w:t>
            </w:r>
          </w:p>
        </w:tc>
        <w:tc>
          <w:tcPr>
            <w:tcW w:type="dxa" w:w="4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Closed by console_diag_pmentry.py</w:t>
            </w:r>
          </w:p>
        </w:tc>
      </w:tr>
      <w:tr>
        <w:tc>
          <w:tcPr>
            <w:tcW w:type="dxa" w:w="64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A15</w:t>
            </w:r>
          </w:p>
        </w:tc>
        <w:tc>
          <w:tcPr>
            <w:tcW w:type="dxa" w:w="4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Web week key (Excel WEEKNUM, year×100+week) matches console_sync's key</w:t>
            </w:r>
          </w:p>
        </w:tc>
        <w:tc>
          <w:tcPr>
            <w:tcW w:type="dxa" w:w="412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Mismatch → web + spreadsheet write different rows for the same week</w:t>
            </w:r>
          </w:p>
        </w:tc>
        <w:tc>
          <w:tcPr>
            <w:tcW w:type="dxa" w:w="40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Compare the key console_sync writes vs plan.week_key()</w:t>
            </w:r>
          </w:p>
        </w:tc>
      </w:tr>
      <w:tr>
        <w:tc>
          <w:tcPr>
            <w:tcW w:type="dxa" w:w="64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A16</w:t>
            </w:r>
          </w:p>
        </w:tc>
        <w:tc>
          <w:tcPr>
            <w:tcW w:type="dxa" w:w="4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Overlay reads % Done as a 0–1 fraction and run-out as a ratio (1.25)</w:t>
            </w:r>
          </w:p>
        </w:tc>
        <w:tc>
          <w:tcPr>
            <w:tcW w:type="dxa" w:w="412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Wrong scaling → % shows 9300% or 0.0125</w:t>
            </w:r>
          </w:p>
        </w:tc>
        <w:tc>
          <w:tcPr>
            <w:tcW w:type="dxa" w:w="4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Save one project via the form; confirm the board renders it right</w:t>
            </w:r>
          </w:p>
        </w:tc>
      </w:tr>
      <w:tr>
        <w:tc>
          <w:tcPr>
            <w:tcW w:type="dxa" w:w="64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A17</w:t>
            </w:r>
          </w:p>
        </w:tc>
        <w:tc>
          <w:tcPr>
            <w:tcW w:type="dxa" w:w="4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FiscalYear column = calendar year (to match the YYYYWW key)</w:t>
            </w:r>
          </w:p>
        </w:tc>
        <w:tc>
          <w:tcPr>
            <w:tcW w:type="dxa" w:w="412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If it means the Apr–Mar fiscal year, keys/joins drift</w:t>
            </w:r>
          </w:p>
        </w:tc>
        <w:tc>
          <w:tcPr>
            <w:tcW w:type="dxa" w:w="40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Confirm intended meaning vs the sync</w:t>
            </w:r>
          </w:p>
        </w:tc>
      </w:tr>
      <w:tr>
        <w:tc>
          <w:tcPr>
            <w:tcW w:type="dxa" w:w="64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A18</w:t>
            </w:r>
          </w:p>
        </w:tc>
        <w:tc>
          <w:tcPr>
            <w:tcW w:type="dxa" w:w="4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Carry-forward INSERT column names exist as written</w:t>
            </w:r>
          </w:p>
        </w:tc>
        <w:tc>
          <w:tcPr>
            <w:tcW w:type="dxa" w:w="412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New-week insert errors otherwise</w:t>
            </w:r>
          </w:p>
        </w:tc>
        <w:tc>
          <w:tcPr>
            <w:tcW w:type="dxa" w:w="4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Covered by A14 column check</w:t>
            </w:r>
          </w:p>
        </w:tc>
      </w:tr>
    </w:tbl>
    <w:p>
      <w:pPr>
        <w:spacing w:after="70" w:before="140"/>
      </w:pPr>
      <w:r>
        <w:rPr>
          <w:b/>
          <w:bCs/>
          <w:color w:val="1F3864"/>
          <w:sz w:val="20"/>
          <w:szCs w:val="20"/>
        </w:rPr>
        <w:t xml:space="preserve">Cross-cutting / architecture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640"/>
        <w:gridCol w:w="4200"/>
        <w:gridCol w:w="4120"/>
        <w:gridCol w:w="4000"/>
      </w:tblGrid>
      <w:tr>
        <w:trPr>
          <w:tblHeader/>
        </w:trPr>
        <w:tc>
          <w:tcPr>
            <w:tcW w:type="dxa" w:w="64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w:t>
            </w:r>
          </w:p>
        </w:tc>
        <w:tc>
          <w:tcPr>
            <w:tcW w:type="dxa" w:w="42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Assumption</w:t>
            </w:r>
          </w:p>
        </w:tc>
        <w:tc>
          <w:tcPr>
            <w:tcW w:type="dxa" w:w="412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Why it matters</w:t>
            </w:r>
          </w:p>
        </w:tc>
        <w:tc>
          <w:tcPr>
            <w:tcW w:type="dxa" w:w="40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How to verify</w:t>
            </w:r>
          </w:p>
        </w:tc>
      </w:tr>
      <w:tr>
        <w:tc>
          <w:tcPr>
            <w:tcW w:type="dxa" w:w="64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A19</w:t>
            </w:r>
          </w:p>
        </w:tc>
        <w:tc>
          <w:tcPr>
            <w:tcW w:type="dxa" w:w="4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Reporting account has SELECT on every ETO object used at run time (vwTimecards, vwPurchaseOrder*, vwCostingSummed_ByNC, vwNonConformance*, tlkp*)</w:t>
            </w:r>
          </w:p>
        </w:tc>
        <w:tc>
          <w:tcPr>
            <w:tcW w:type="dxa" w:w="412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A missing grant errors the report/dashboard block</w:t>
            </w:r>
          </w:p>
        </w:tc>
        <w:tc>
          <w:tcPr>
            <w:tcW w:type="dxa" w:w="4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First live run of the app is the acceptance test; watch the logs</w:t>
            </w:r>
          </w:p>
        </w:tc>
      </w:tr>
      <w:tr>
        <w:tc>
          <w:tcPr>
            <w:tcW w:type="dxa" w:w="64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A20</w:t>
            </w:r>
          </w:p>
        </w:tc>
        <w:tc>
          <w:tcPr>
            <w:tcW w:type="dxa" w:w="4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The calc/italic rendering displays correctly in the web table AND the Excel export</w:t>
            </w:r>
          </w:p>
        </w:tc>
        <w:tc>
          <w:tcPr>
            <w:tcW w:type="dxa" w:w="412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Cosmetic-but-visible; logic verified, not rendered here</w:t>
            </w:r>
          </w:p>
        </w:tc>
        <w:tc>
          <w:tcPr>
            <w:tcW w:type="dxa" w:w="40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Open the exec board + export one workbook and eyeball</w:t>
            </w:r>
          </w:p>
        </w:tc>
      </w:tr>
      <w:tr>
        <w:tc>
          <w:tcPr>
            <w:tcW w:type="dxa" w:w="64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A21</w:t>
            </w:r>
          </w:p>
        </w:tc>
        <w:tc>
          <w:tcPr>
            <w:tcW w:type="dxa" w:w="4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vwPurchaseOrderHeader.PurchaseDate is populated (drives the material 2-wk window)</w:t>
            </w:r>
          </w:p>
        </w:tc>
        <w:tc>
          <w:tcPr>
            <w:tcW w:type="dxa" w:w="412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Nulls silently shrink the delta</w:t>
            </w:r>
          </w:p>
        </w:tc>
        <w:tc>
          <w:tcPr>
            <w:tcW w:type="dxa" w:w="4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Confirm non-null coverage</w:t>
            </w:r>
          </w:p>
        </w:tc>
      </w:tr>
      <w:tr>
        <w:tc>
          <w:tcPr>
            <w:tcW w:type="dxa" w:w="64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A22</w:t>
            </w:r>
          </w:p>
        </w:tc>
        <w:tc>
          <w:tcPr>
            <w:tcW w:type="dxa" w:w="4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None of this session's code has been run against live ETO/DB from here</w:t>
            </w:r>
          </w:p>
        </w:tc>
        <w:tc>
          <w:tcPr>
            <w:tcW w:type="dxa" w:w="412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Everything above is “written to the verified schema,” not executed</w:t>
            </w:r>
          </w:p>
        </w:tc>
        <w:tc>
          <w:tcPr>
            <w:tcW w:type="dxa" w:w="40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Live acceptance pass on the box</w:t>
            </w:r>
          </w:p>
        </w:tc>
      </w:tr>
    </w:tbl>
    <w:p>
      <w:pPr>
        <w:pStyle w:val="Heading1"/>
        <w:spacing w:after="100" w:before="220"/>
      </w:pPr>
      <w:r>
        <w:rPr>
          <w:b/>
          <w:bCs/>
          <w:color w:val="1F3864"/>
          <w:sz w:val="30"/>
          <w:szCs w:val="30"/>
        </w:rPr>
        <w:t xml:space="preserve">B. Open questions / decisions pending</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560"/>
        <w:gridCol w:w="3900"/>
        <w:gridCol w:w="5200"/>
        <w:gridCol w:w="3300"/>
      </w:tblGrid>
      <w:tr>
        <w:trPr>
          <w:tblHeader/>
        </w:trPr>
        <w:tc>
          <w:tcPr>
            <w:tcW w:type="dxa" w:w="56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w:t>
            </w:r>
          </w:p>
        </w:tc>
        <w:tc>
          <w:tcPr>
            <w:tcW w:type="dxa" w:w="39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Question</w:t>
            </w:r>
          </w:p>
        </w:tc>
        <w:tc>
          <w:tcPr>
            <w:tcW w:type="dxa" w:w="52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Options / current lean</w:t>
            </w:r>
          </w:p>
        </w:tc>
        <w:tc>
          <w:tcPr>
            <w:tcW w:type="dxa" w:w="33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Depends on</w:t>
            </w:r>
          </w:p>
        </w:tc>
      </w:tr>
      <w:tr>
        <w:tc>
          <w:tcPr>
            <w:tcW w:type="dxa" w:w="56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B1</w:t>
            </w:r>
          </w:p>
        </w:tc>
        <w:tc>
          <w:tcPr>
            <w:tcW w:type="dxa" w:w="39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Material “actual” = committed or received?</w:t>
            </w:r>
          </w:p>
        </w:tc>
        <w:tc>
          <w:tcPr>
            <w:tcW w:type="dxa" w:w="5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Shipped as committed (ordered); received is truer but lags</w:t>
            </w:r>
          </w:p>
        </w:tc>
        <w:tc>
          <w:tcPr>
            <w:tcW w:type="dxa" w:w="33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console_diag_material_actual.py output</w:t>
            </w:r>
          </w:p>
        </w:tc>
      </w:tr>
      <w:tr>
        <w:tc>
          <w:tcPr>
            <w:tcW w:type="dxa" w:w="56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B2</w:t>
            </w:r>
          </w:p>
        </w:tc>
        <w:tc>
          <w:tcPr>
            <w:tcW w:type="dxa" w:w="39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Delta window = 2 weeks or 1 week?</w:t>
            </w:r>
          </w:p>
        </w:tc>
        <w:tc>
          <w:tcPr>
            <w:tcW w:type="dxa" w:w="5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Built 14-day; pack tracks 1-week — reconcile</w:t>
            </w:r>
          </w:p>
        </w:tc>
        <w:tc>
          <w:tcPr>
            <w:tcW w:type="dxa" w:w="33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A8</w:t>
            </w:r>
          </w:p>
        </w:tc>
      </w:tr>
      <w:tr>
        <w:tc>
          <w:tcPr>
            <w:tcW w:type="dxa" w:w="56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B3</w:t>
            </w:r>
          </w:p>
        </w:tc>
        <w:tc>
          <w:tcPr>
            <w:tcW w:type="dxa" w:w="39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Plan “activity” grain</w:t>
            </w:r>
          </w:p>
        </w:tc>
        <w:tc>
          <w:tcPr>
            <w:tcW w:type="dxa" w:w="5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 RESOLVED — spec (ETO anchor from tblSpec; objective % from labour+material) + console-authored sub-units. Process schedule rejected (parts tracker, no durations).</w:t>
            </w:r>
          </w:p>
        </w:tc>
        <w:tc>
          <w:tcPr>
            <w:tcW w:type="dxa" w:w="33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w:t>
            </w:r>
          </w:p>
        </w:tc>
      </w:tr>
      <w:tr>
        <w:tc>
          <w:tcPr>
            <w:tcW w:type="dxa" w:w="56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B4</w:t>
            </w:r>
          </w:p>
        </w:tc>
        <w:tc>
          <w:tcPr>
            <w:tcW w:type="dxa" w:w="39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Activity weight governance</w:t>
            </w:r>
          </w:p>
        </w:tc>
        <w:tc>
          <w:tcPr>
            <w:tcW w:type="dxa" w:w="5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Capture weight + who set it now; 3-party sign-off workflow later?</w:t>
            </w:r>
          </w:p>
        </w:tc>
        <w:tc>
          <w:tcPr>
            <w:tcW w:type="dxa" w:w="33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B3</w:t>
            </w:r>
          </w:p>
        </w:tc>
      </w:tr>
      <w:tr>
        <w:tc>
          <w:tcPr>
            <w:tcW w:type="dxa" w:w="56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B5</w:t>
            </w:r>
          </w:p>
        </w:tc>
        <w:tc>
          <w:tcPr>
            <w:tcW w:type="dxa" w:w="39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Wire derived run-out (consumed ÷ % done) into the plan form as a suggested value?</w:t>
            </w:r>
          </w:p>
        </w:tc>
        <w:tc>
          <w:tcPr>
            <w:tcW w:type="dxa" w:w="5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Offered; keeps PM override</w:t>
            </w:r>
          </w:p>
        </w:tc>
        <w:tc>
          <w:tcPr>
            <w:tcW w:type="dxa" w:w="33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plan form live</w:t>
            </w:r>
          </w:p>
        </w:tc>
      </w:tr>
      <w:tr>
        <w:tc>
          <w:tcPr>
            <w:tcW w:type="dxa" w:w="56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B6</w:t>
            </w:r>
          </w:p>
        </w:tc>
        <w:tc>
          <w:tcPr>
            <w:tcW w:type="dxa" w:w="39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Derive % Done objectively from the allocation (ETO actual hrs ÷ allocated) to replace the typed %?</w:t>
            </w:r>
          </w:p>
        </w:tc>
        <w:tc>
          <w:tcPr>
            <w:tcW w:type="dxa" w:w="5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The end goal; needs B3 grain + weights</w:t>
            </w:r>
          </w:p>
        </w:tc>
        <w:tc>
          <w:tcPr>
            <w:tcW w:type="dxa" w:w="33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B3, B4</w:t>
            </w:r>
          </w:p>
        </w:tc>
      </w:tr>
      <w:tr>
        <w:tc>
          <w:tcPr>
            <w:tcW w:type="dxa" w:w="56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B7</w:t>
            </w:r>
          </w:p>
        </w:tc>
        <w:tc>
          <w:tcPr>
            <w:tcW w:type="dxa" w:w="39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 Done 2-week delta — keep manual, or compute from weekly snapshots once the plan form populates?</w:t>
            </w:r>
          </w:p>
        </w:tc>
        <w:tc>
          <w:tcPr>
            <w:tcW w:type="dxa" w:w="5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Manual today (% done not in ETO)</w:t>
            </w:r>
          </w:p>
        </w:tc>
        <w:tc>
          <w:tcPr>
            <w:tcW w:type="dxa" w:w="33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plan form adoption</w:t>
            </w:r>
          </w:p>
        </w:tc>
      </w:tr>
      <w:tr>
        <w:tc>
          <w:tcPr>
            <w:tcW w:type="dxa" w:w="56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B8</w:t>
            </w:r>
          </w:p>
        </w:tc>
        <w:tc>
          <w:tcPr>
            <w:tcW w:type="dxa" w:w="39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Electrical Procurement → Project Management or Electrical Engineering? (Budgets vs Asset Re-Code clash)</w:t>
            </w:r>
          </w:p>
        </w:tc>
        <w:tc>
          <w:tcPr>
            <w:tcW w:type="dxa" w:w="5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Unresolved since 2026-07-18</w:t>
            </w:r>
          </w:p>
        </w:tc>
        <w:tc>
          <w:tcPr>
            <w:tcW w:type="dxa" w:w="33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owner call</w:t>
            </w:r>
          </w:p>
        </w:tc>
      </w:tr>
      <w:tr>
        <w:tc>
          <w:tcPr>
            <w:tcW w:type="dxa" w:w="56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B9</w:t>
            </w:r>
          </w:p>
        </w:tc>
        <w:tc>
          <w:tcPr>
            <w:tcW w:type="dxa" w:w="39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Retire the spreadsheet sync once budget + plan web forms are adopted?</w:t>
            </w:r>
          </w:p>
        </w:tc>
        <w:tc>
          <w:tcPr>
            <w:tcW w:type="dxa" w:w="5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Transition plan; both write during overlap</w:t>
            </w:r>
          </w:p>
        </w:tc>
        <w:tc>
          <w:tcPr>
            <w:tcW w:type="dxa" w:w="33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A15</w:t>
            </w:r>
          </w:p>
        </w:tc>
      </w:tr>
      <w:tr>
        <w:tc>
          <w:tcPr>
            <w:tcW w:type="dxa" w:w="56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B10</w:t>
            </w:r>
          </w:p>
        </w:tc>
        <w:tc>
          <w:tcPr>
            <w:tcW w:type="dxa" w:w="39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Build the NCR Aging report (open NCRs by age bucket)?</w:t>
            </w:r>
          </w:p>
        </w:tc>
        <w:tc>
          <w:tcPr>
            <w:tcW w:type="dxa" w:w="52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Data supports it (CreationDate); not built</w:t>
            </w:r>
          </w:p>
        </w:tc>
        <w:tc>
          <w:tcPr>
            <w:tcW w:type="dxa" w:w="33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owner priority</w:t>
            </w:r>
          </w:p>
        </w:tc>
      </w:tr>
      <w:tr>
        <w:tc>
          <w:tcPr>
            <w:tcW w:type="dxa" w:w="56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B11</w:t>
            </w:r>
          </w:p>
        </w:tc>
        <w:tc>
          <w:tcPr>
            <w:tcW w:type="dxa" w:w="39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Long-term home for discipline budget hours — Budgets tab vs Reporting.tblProjectEstimates?</w:t>
            </w:r>
          </w:p>
        </w:tc>
        <w:tc>
          <w:tcPr>
            <w:tcW w:type="dxa" w:w="52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Deferred (roadmap)</w:t>
            </w:r>
          </w:p>
        </w:tc>
        <w:tc>
          <w:tcPr>
            <w:tcW w:type="dxa" w:w="33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later phase</w:t>
            </w:r>
          </w:p>
        </w:tc>
      </w:tr>
    </w:tbl>
    <w:p>
      <w:pPr>
        <w:pStyle w:val="Heading1"/>
        <w:spacing w:after="100" w:before="220"/>
      </w:pPr>
      <w:r>
        <w:rPr>
          <w:b/>
          <w:bCs/>
          <w:color w:val="1F3864"/>
          <w:sz w:val="30"/>
          <w:szCs w:val="30"/>
        </w:rPr>
        <w:t xml:space="preserve">C. Probes — status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3600"/>
        <w:gridCol w:w="7360"/>
        <w:gridCol w:w="2000"/>
      </w:tblGrid>
      <w:tr>
        <w:trPr>
          <w:tblHeader/>
        </w:trPr>
        <w:tc>
          <w:tcPr>
            <w:tcW w:type="dxa" w:w="36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Probe</w:t>
            </w:r>
          </w:p>
        </w:tc>
        <w:tc>
          <w:tcPr>
            <w:tcW w:type="dxa" w:w="736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Purpose</w:t>
            </w:r>
          </w:p>
        </w:tc>
        <w:tc>
          <w:tcPr>
            <w:tcW w:type="dxa" w:w="2000"/>
            <w:tcBorders>
              <w:top w:val="single" w:color="C9D2E0" w:sz="4"/>
              <w:left w:val="single" w:color="C9D2E0" w:sz="4"/>
              <w:bottom w:val="single" w:color="C9D2E0" w:sz="4"/>
              <w:right w:val="single" w:color="C9D2E0" w:sz="4"/>
            </w:tcBorders>
            <w:shd w:fill="2E75B6" w:color="auto" w:val="clear"/>
            <w:tcMar>
              <w:top w:type="dxa" w:w="60"/>
              <w:left w:type="dxa" w:w="90"/>
              <w:bottom w:type="dxa" w:w="60"/>
              <w:right w:type="dxa" w:w="90"/>
            </w:tcMar>
          </w:tcPr>
          <w:p>
            <w:pPr>
              <w:spacing w:after="0"/>
            </w:pPr>
            <w:r>
              <w:rPr>
                <w:b/>
                <w:bCs/>
                <w:i w:val="false"/>
                <w:iCs w:val="false"/>
                <w:color w:val="FFFFFF"/>
                <w:sz w:val="18"/>
                <w:szCs w:val="18"/>
              </w:rPr>
              <w:t xml:space="preserve">Status</w:t>
            </w:r>
          </w:p>
        </w:tc>
      </w:tr>
      <w:tr>
        <w:tc>
          <w:tcPr>
            <w:tcW w:type="dxa" w:w="36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console_diag_ncr*.py (4)</w:t>
            </w:r>
          </w:p>
        </w:tc>
        <w:tc>
          <w:tcPr>
            <w:tcW w:type="dxa" w:w="736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NC schema, costing procs, cost source</w:t>
            </w:r>
          </w:p>
        </w:tc>
        <w:tc>
          <w:tcPr>
            <w:tcW w:type="dxa" w:w="2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RUN — verified</w:t>
            </w:r>
          </w:p>
        </w:tc>
      </w:tr>
      <w:tr>
        <w:tc>
          <w:tcPr>
            <w:tcW w:type="dxa" w:w="36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console_diag_plan_activity.py</w:t>
            </w:r>
          </w:p>
        </w:tc>
        <w:tc>
          <w:tcPr>
            <w:tcW w:type="dxa" w:w="736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Spec list + actuals per spec + process-schedule presence (B3)</w:t>
            </w:r>
          </w:p>
        </w:tc>
        <w:tc>
          <w:tcPr>
            <w:tcW w:type="dxa" w:w="20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RUN — specs work; PS module exists</w:t>
            </w:r>
          </w:p>
        </w:tc>
      </w:tr>
      <w:tr>
        <w:tc>
          <w:tcPr>
            <w:tcW w:type="dxa" w:w="36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console_diag_pmentry.py</w:t>
            </w:r>
          </w:p>
        </w:tc>
        <w:tc>
          <w:tcPr>
            <w:tcW w:type="dxa" w:w="736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Plan write target + columns + week key (A14/A15/A17)</w:t>
            </w:r>
          </w:p>
        </w:tc>
        <w:tc>
          <w:tcPr>
            <w:tcW w:type="dxa" w:w="2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RUN — table exists, 0 rows</w:t>
            </w:r>
          </w:p>
        </w:tc>
      </w:tr>
      <w:tr>
        <w:tc>
          <w:tcPr>
            <w:tcW w:type="dxa" w:w="36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console_diag_po_active.py</w:t>
            </w:r>
          </w:p>
        </w:tc>
        <w:tc>
          <w:tcPr>
            <w:tcW w:type="dxa" w:w="736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PurchaseActive impact on committed (A1)</w:t>
            </w:r>
          </w:p>
        </w:tc>
        <w:tc>
          <w:tcPr>
            <w:tcW w:type="dxa" w:w="20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RUN — no-op, A1 closed</w:t>
            </w:r>
          </w:p>
        </w:tc>
      </w:tr>
      <w:tr>
        <w:tc>
          <w:tcPr>
            <w:tcW w:type="dxa" w:w="36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console_diag_process_schedule.py</w:t>
            </w:r>
          </w:p>
        </w:tc>
        <w:tc>
          <w:tcPr>
            <w:tcW w:type="dxa" w:w="736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Is the process schedule a usable plan source? (B3)</w:t>
            </w:r>
          </w:p>
        </w:tc>
        <w:tc>
          <w:tcPr>
            <w:tcW w:type="dxa" w:w="2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RUN — no (parts tracker); spec chosen</w:t>
            </w:r>
          </w:p>
        </w:tc>
      </w:tr>
      <w:tr>
        <w:tc>
          <w:tcPr>
            <w:tcW w:type="dxa" w:w="36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console_diag_nc_attribution.py</w:t>
            </w:r>
          </w:p>
        </w:tc>
        <w:tc>
          <w:tcPr>
            <w:tcW w:type="dxa" w:w="736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Origin→dept population; derived-discipline spread (A12)</w:t>
            </w:r>
          </w:p>
        </w:tc>
        <w:tc>
          <w:tcPr>
            <w:tcW w:type="dxa" w:w="2000"/>
            <w:tcBorders>
              <w:top w:val="single" w:color="C9D2E0" w:sz="4"/>
              <w:left w:val="single" w:color="C9D2E0" w:sz="4"/>
              <w:bottom w:val="single" w:color="C9D2E0" w:sz="4"/>
              <w:right w:val="single" w:color="C9D2E0" w:sz="4"/>
            </w:tcBorders>
            <w:shd w:fill="F2F4F8" w:color="auto" w:val="clear"/>
            <w:tcMar>
              <w:top w:type="dxa" w:w="60"/>
              <w:left w:type="dxa" w:w="90"/>
              <w:bottom w:type="dxa" w:w="60"/>
              <w:right w:type="dxa" w:w="90"/>
            </w:tcMar>
          </w:tcPr>
          <w:p>
            <w:pPr>
              <w:spacing w:after="0"/>
            </w:pPr>
            <w:r>
              <w:rPr>
                <w:b w:val="false"/>
                <w:bCs w:val="false"/>
                <w:i w:val="false"/>
                <w:iCs w:val="false"/>
                <w:sz w:val="18"/>
                <w:szCs w:val="18"/>
              </w:rPr>
              <w:t xml:space="preserve">Delivered — run pending</w:t>
            </w:r>
          </w:p>
        </w:tc>
      </w:tr>
      <w:tr>
        <w:tc>
          <w:tcPr>
            <w:tcW w:type="dxa" w:w="36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console_diag_material_actual.py</w:t>
            </w:r>
          </w:p>
        </w:tc>
        <w:tc>
          <w:tcPr>
            <w:tcW w:type="dxa" w:w="736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Committed vs received per project (A2/B1)</w:t>
            </w:r>
          </w:p>
        </w:tc>
        <w:tc>
          <w:tcPr>
            <w:tcW w:type="dxa" w:w="2000"/>
            <w:tcBorders>
              <w:top w:val="single" w:color="C9D2E0" w:sz="4"/>
              <w:left w:val="single" w:color="C9D2E0" w:sz="4"/>
              <w:bottom w:val="single" w:color="C9D2E0" w:sz="4"/>
              <w:right w:val="single" w:color="C9D2E0" w:sz="4"/>
            </w:tcBorders>
            <w:tcMar>
              <w:top w:type="dxa" w:w="60"/>
              <w:left w:type="dxa" w:w="90"/>
              <w:bottom w:type="dxa" w:w="60"/>
              <w:right w:type="dxa" w:w="90"/>
            </w:tcMar>
          </w:tcPr>
          <w:p>
            <w:pPr>
              <w:spacing w:after="0"/>
            </w:pPr>
            <w:r>
              <w:rPr>
                <w:b w:val="false"/>
                <w:bCs w:val="false"/>
                <w:i w:val="false"/>
                <w:iCs w:val="false"/>
                <w:sz w:val="18"/>
                <w:szCs w:val="18"/>
              </w:rPr>
              <w:t xml:space="preserve">Delivered — run pending</w:t>
            </w:r>
          </w:p>
        </w:tc>
      </w:tr>
    </w:tbl>
    <w:p>
      <w:pPr>
        <w:spacing w:before="200"/>
      </w:pPr>
      <w:r>
        <w:rPr>
          <w:i/>
          <w:iCs/>
          <w:color w:val="6B7280"/>
          <w:sz w:val="18"/>
          <w:szCs w:val="18"/>
        </w:rPr>
        <w:t xml:space="preserve">How to use: run the pending / to-write probes on the box, paste output back, and we close the matching A-rows and B-decisions here. A single live acceptance pass on the app clears A19–A22.</w:t>
      </w:r>
    </w:p>
    <w:sectPr>
      <w:pgSz w:w="15840" w:h="12240"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Project Console</dc:creator>
  <cp:lastModifiedBy>Un-named</cp:lastModifiedBy>
  <cp:revision>1</cp:revision>
  <dcterms:created xsi:type="dcterms:W3CDTF">2026-07-26T21:45:20.006Z</dcterms:created>
  <dcterms:modified xsi:type="dcterms:W3CDTF">2026-07-26T21:45:20.006Z</dcterms:modified>
</cp:coreProperties>
</file>

<file path=docProps/custom.xml><?xml version="1.0" encoding="utf-8"?>
<Properties xmlns="http://schemas.openxmlformats.org/officeDocument/2006/custom-properties" xmlns:vt="http://schemas.openxmlformats.org/officeDocument/2006/docPropsVTypes"/>
</file>