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Performance Ratio Analysis and</w:t>
      </w:r>
    </w:p>
    <w:p>
      <w:pPr>
        <w:spacing w:after="400"/>
        <w:jc w:val="center"/>
      </w:pPr>
      <w:r>
        <w:rPr>
          <w:b/>
          <w:bCs/>
          <w:color w:val="1F3864"/>
          <w:sz w:val="44"/>
          <w:szCs w:val="44"/>
        </w:rPr>
        <w:t xml:space="preserve">Visualization for Solar PV Plant</w:t>
      </w:r>
    </w:p>
    <w:p>
      <w:pPr>
        <w:spacing w:after="1600"/>
        <w:jc w:val="center"/>
      </w:pPr>
      <w:r>
        <w:rPr>
          <w:i/>
          <w:iCs/>
          <w:color w:val="595959"/>
          <w:sz w:val="26"/>
          <w:szCs w:val="26"/>
        </w:rPr>
        <w:t xml:space="preserve">A Take Home Assessment Submission</w:t>
      </w:r>
    </w:p>
    <w:p>
      <w:pPr>
        <w:spacing w:after="120"/>
        <w:jc w:val="center"/>
      </w:pPr>
      <w:r>
        <w:rPr>
          <w:sz w:val="24"/>
          <w:szCs w:val="24"/>
        </w:rPr>
        <w:t xml:space="preserve">Prepared By: Naresh V</w:t>
      </w:r>
    </w:p>
    <w:p>
      <w:pPr>
        <w:spacing w:after="60"/>
        <w:jc w:val="center"/>
      </w:pPr>
      <w:r>
        <w:rPr>
          <w:color w:val="595959"/>
          <w:sz w:val="22"/>
          <w:szCs w:val="22"/>
        </w:rPr>
        <w:t xml:space="preserve">B.Tech, Biosciences &amp; Bioengineering (Data Science &amp; Analytics)</w:t>
      </w:r>
    </w:p>
    <w:p>
      <w:pPr>
        <w:spacing w:after="400"/>
        <w:jc w:val="center"/>
      </w:pPr>
      <w:r>
        <w:rPr>
          <w:color w:val="595959"/>
          <w:sz w:val="22"/>
          <w:szCs w:val="22"/>
        </w:rPr>
        <w:t xml:space="preserve">Indian Institute of Technology Roorkee</w:t>
      </w:r>
    </w:p>
    <w:p>
      <w:pPr>
        <w:spacing w:after="60"/>
        <w:jc w:val="center"/>
      </w:pPr>
      <w:r>
        <w:rPr>
          <w:sz w:val="22"/>
          <w:szCs w:val="22"/>
        </w:rPr>
        <w:t xml:space="preserve">Project Type: Take Home Assessment</w:t>
      </w:r>
    </w:p>
    <w:p>
      <w:pPr>
        <w:spacing w:after="60"/>
        <w:jc w:val="center"/>
      </w:pPr>
      <w:r>
        <w:rPr>
          <w:sz w:val="22"/>
          <w:szCs w:val="22"/>
        </w:rPr>
        <w:t xml:space="preserve">Date: 26 July 2026</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2. Executive Summary</w:t>
      </w:r>
    </w:p>
    <w:p>
      <w:pPr>
        <w:spacing w:after="160"/>
        <w:jc w:val="both"/>
      </w:pPr>
      <w:r>
        <w:t xml:space="preserve">Solar power plants are only as valuable as their ability to convert available sunlight into usable electricity, and Performance Ratio (PR) is the single metric most commonly used to track that conversion efficiency day over day. This project takes raw, file-based PR and GHI (Global Horizontal Irradiance) records from a PV plant, spread across dozens of monthly folders, and turns them into a clean dataset and a single, information-dense chart that a plant operator or asset manager could use to judge how the plant is actually performing against its contractual or budgeted targets.</w:t>
      </w:r>
    </w:p>
    <w:p>
      <w:pPr>
        <w:spacing w:after="160"/>
        <w:jc w:val="both"/>
      </w:pPr>
      <w:r>
        <w:t xml:space="preserve">PR matters because it strips away the effect of weather. A plant can produce less energy simply because a day was cloudy — that is expected and not a fault of the equipment. PR instead asks: given how much sunlight actually fell on the plant that day (the GHI), how much of the theoretically possible energy did the plant actually deliver? A consistently high PR means the plant is healthy; a falling PR, especially one that dips below the budgeted target, is an early warning sign of soiling, degradation, inverter issues, or other underperformance that would otherwise go unnoticed until it shows up in revenue.</w:t>
      </w:r>
    </w:p>
    <w:p>
      <w:pPr>
        <w:spacing w:after="160"/>
        <w:jc w:val="both"/>
      </w:pPr>
      <w:r>
        <w:t xml:space="preserve">The assessment itself set three problems to solve: first, consolidate scattered PR and GHI CSV files into a single tidy dataset; second, reproduce a specific evolution graph that overlays daily PR, a 30-day moving average, GHI-based colour coding, and a dynamically-degrading budget line; and third, extend the tool with a bonus command-line capability so the same graph could be regenerated for any custom date range without touching the code.</w:t>
      </w:r>
    </w:p>
    <w:p>
      <w:pPr>
        <w:spacing w:after="160"/>
        <w:jc w:val="both"/>
      </w:pPr>
      <w:r>
        <w:t xml:space="preserve">All three requirements were met. The final deliverable is a small, modular Python project (main.py, preprocess.py, visualization.py) that reads 394 raw CSV files, merges them into a 982-row dataset covering 1 July 2019 to 24 March 2022, and produces a high-resolution Performance Ratio Evolution graph identical in logic to the one built and validated in Jupyter Notebook during development. The bonus date-range feature is implemented through argparse, with input validation, and every derived figure on the graph — moving average, budget line, statistics box, and financial-year point counts — recalculates automatically whenever a different date range is supplied.</w:t>
      </w:r>
    </w:p>
    <w:p>
      <w:pPr>
        <w:pStyle w:val="Heading1"/>
        <w:spacing w:after="180" w:before="360"/>
      </w:pPr>
      <w:r>
        <w:t xml:space="preserve">3. Problem Statement</w:t>
      </w:r>
    </w:p>
    <w:p>
      <w:pPr>
        <w:spacing w:after="160"/>
        <w:jc w:val="both"/>
      </w:pPr>
      <w:r>
        <w:t xml:space="preserve">The assessment provided PV plant data as two parallel sets of daily CSV files: one folder tree for PR, one for GHI, each organised into year-month sub-folders (for example, data/PR/2020-03/2020-03-27_PR.csv). Neither dataset was usable in that form — each file held only a single day's reading, and PR and GHI had to be brought together before any meaningful analysis could happen.</w:t>
      </w:r>
    </w:p>
    <w:p>
      <w:pPr>
        <w:spacing w:after="160"/>
        <w:jc w:val="both"/>
      </w:pPr>
      <w:r>
        <w:t xml:space="preserve">The assessment specifically required:</w:t>
      </w:r>
    </w:p>
    <w:p>
      <w:pPr>
        <w:pStyle w:val="ListParagraph"/>
        <w:numPr>
          <w:ilvl w:val="0"/>
          <w:numId w:val="1"/>
        </w:numPr>
        <w:spacing w:after="100"/>
      </w:pPr>
      <w:r>
        <w:t xml:space="preserve">Recursively reading every PR CSV file, regardless of how deep it sat in the month-wise folder structure.</w:t>
      </w:r>
    </w:p>
    <w:p>
      <w:pPr>
        <w:pStyle w:val="ListParagraph"/>
        <w:numPr>
          <w:ilvl w:val="0"/>
          <w:numId w:val="1"/>
        </w:numPr>
        <w:spacing w:after="100"/>
      </w:pPr>
      <w:r>
        <w:t xml:space="preserve">Recursively reading every GHI CSV file in the same way.</w:t>
      </w:r>
    </w:p>
    <w:p>
      <w:pPr>
        <w:pStyle w:val="ListParagraph"/>
        <w:numPr>
          <w:ilvl w:val="0"/>
          <w:numId w:val="1"/>
        </w:numPr>
        <w:spacing w:after="100"/>
      </w:pPr>
      <w:r>
        <w:t xml:space="preserve">Merging the two into a single dataset keyed on Date, so that every day has one row with both its PR and its GHI value.</w:t>
      </w:r>
    </w:p>
    <w:p>
      <w:pPr>
        <w:pStyle w:val="ListParagraph"/>
        <w:numPr>
          <w:ilvl w:val="0"/>
          <w:numId w:val="1"/>
        </w:numPr>
        <w:spacing w:after="100"/>
      </w:pPr>
      <w:r>
        <w:t xml:space="preserve">Generating a single, reproducible Performance Ratio Evolution graph from that merged dataset — not a generic chart, but one with a specific set of overlays: colour-coded scatter points, a 30-day moving average, a dynamically degrading budget line, per-financial-year point counts above budget, and a running statistics box.</w:t>
      </w:r>
    </w:p>
    <w:p>
      <w:pPr>
        <w:pStyle w:val="ListParagraph"/>
        <w:numPr>
          <w:ilvl w:val="0"/>
          <w:numId w:val="1"/>
        </w:numPr>
        <w:spacing w:after="100"/>
      </w:pPr>
      <w:r>
        <w:t xml:space="preserve">Implementing a bonus capability: accepting a --start_date and --end_date from the command line and regenerating the entire graph, statistics included, for just that window.</w:t>
      </w:r>
    </w:p>
    <w:p>
      <w:pPr>
        <w:spacing w:after="160"/>
        <w:jc w:val="both"/>
      </w:pPr>
      <w:r>
        <w:t xml:space="preserve">In short, the task was equal parts data engineering (get the files into one clean table) and data visualisation (build a chart that tells the plant's performance story at a glance), with a final layer of software engineering polish (turn a working notebook into a runnable command-line tool).</w:t>
      </w:r>
    </w:p>
    <w:p>
      <w:pPr>
        <w:pStyle w:val="Heading1"/>
        <w:spacing w:after="180" w:before="360"/>
      </w:pPr>
      <w:r>
        <w:t xml:space="preserve">4. Project Objectives</w:t>
      </w:r>
    </w:p>
    <w:p>
      <w:pPr>
        <w:pStyle w:val="ListParagraph"/>
        <w:numPr>
          <w:ilvl w:val="0"/>
          <w:numId w:val="1"/>
        </w:numPr>
        <w:spacing w:after="100"/>
      </w:pPr>
      <w:r>
        <w:t xml:space="preserve">Read every PR and every GHI CSV file automatically, without hard-coding file names or dates.</w:t>
      </w:r>
    </w:p>
    <w:p>
      <w:pPr>
        <w:pStyle w:val="ListParagraph"/>
        <w:numPr>
          <w:ilvl w:val="0"/>
          <w:numId w:val="1"/>
        </w:numPr>
        <w:spacing w:after="100"/>
      </w:pPr>
      <w:r>
        <w:t xml:space="preserve">Combine the two datasets into a single dataframe using Date as the join key.</w:t>
      </w:r>
    </w:p>
    <w:p>
      <w:pPr>
        <w:pStyle w:val="ListParagraph"/>
        <w:numPr>
          <w:ilvl w:val="0"/>
          <w:numId w:val="1"/>
        </w:numPr>
        <w:spacing w:after="100"/>
      </w:pPr>
      <w:r>
        <w:t xml:space="preserve">Clean the merged data — correct data types (especially converting Date to a proper datetime), remove ordering inconsistencies, and confirm there were no duplicate or missing dates.</w:t>
      </w:r>
    </w:p>
    <w:p>
      <w:pPr>
        <w:pStyle w:val="ListParagraph"/>
        <w:numPr>
          <w:ilvl w:val="0"/>
          <w:numId w:val="1"/>
        </w:numPr>
        <w:spacing w:after="100"/>
      </w:pPr>
      <w:r>
        <w:t xml:space="preserve">Generate a single merged CSV file that could be reused independently of the plotting code.</w:t>
      </w:r>
    </w:p>
    <w:p>
      <w:pPr>
        <w:pStyle w:val="ListParagraph"/>
        <w:numPr>
          <w:ilvl w:val="0"/>
          <w:numId w:val="1"/>
        </w:numPr>
        <w:spacing w:after="100"/>
      </w:pPr>
      <w:r>
        <w:t xml:space="preserve">Build the Performance Ratio Evolution chart with every required overlay: scatter plot, GHI colour bands, 30-day moving average, dynamic budget line, financial-year point counts, statistics box, and a proper legend.</w:t>
      </w:r>
    </w:p>
    <w:p>
      <w:pPr>
        <w:pStyle w:val="ListParagraph"/>
        <w:numPr>
          <w:ilvl w:val="0"/>
          <w:numId w:val="1"/>
        </w:numPr>
        <w:spacing w:after="100"/>
      </w:pPr>
      <w:r>
        <w:t xml:space="preserve">Implement the budget calculation dynamically — as a formula driven by a base value and a yearly degradation rate — rather than hard-coding the budget for each financial year.</w:t>
      </w:r>
    </w:p>
    <w:p>
      <w:pPr>
        <w:pStyle w:val="ListParagraph"/>
        <w:numPr>
          <w:ilvl w:val="0"/>
          <w:numId w:val="1"/>
        </w:numPr>
        <w:spacing w:after="100"/>
      </w:pPr>
      <w:r>
        <w:t xml:space="preserve">Add the bonus command-line date-range functionality, with input validation, so the tool works both for the full dataset and for any custom window.</w:t>
      </w:r>
    </w:p>
    <w:p>
      <w:pPr>
        <w:pStyle w:val="ListParagraph"/>
        <w:numPr>
          <w:ilvl w:val="0"/>
          <w:numId w:val="1"/>
        </w:numPr>
        <w:spacing w:after="100"/>
      </w:pPr>
      <w:r>
        <w:t xml:space="preserve">Package the whole thing as a clean, modular Python project rather than a single notebook, so it is easy to run, read, and extend.</w:t>
      </w:r>
    </w:p>
    <w:p>
      <w:r>
        <w:br w:type="page"/>
      </w:r>
    </w:p>
    <w:p>
      <w:pPr>
        <w:pStyle w:val="Heading1"/>
        <w:spacing w:after="180" w:before="360"/>
      </w:pPr>
      <w:r>
        <w:t xml:space="preserve">5. Dataset Description</w:t>
      </w:r>
    </w:p>
    <w:p>
      <w:pPr>
        <w:spacing w:after="160"/>
        <w:jc w:val="both"/>
      </w:pPr>
      <w:r>
        <w:t xml:space="preserve">The raw data is split into two parallel folder trees — one for PR, one for GHI — each holding one CSV file per day of plant operation.</w:t>
      </w:r>
    </w:p>
    <w:p>
      <w:pPr>
        <w:pStyle w:val="Heading2"/>
        <w:spacing w:after="120" w:before="240"/>
      </w:pPr>
      <w:r>
        <w:t xml:space="preserve">5.1 Folder Organisation</w:t>
      </w:r>
    </w:p>
    <w:p>
      <w:pPr>
        <w:spacing w:after="160"/>
        <w:jc w:val="both"/>
      </w:pPr>
      <w:r>
        <w:t xml:space="preserve">Both the PR and GHI folders follow the same monthly-bucket layout: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data/</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PR/</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2019-07/</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2019-07-01_PR.csv</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2019-07-06_PR.csv</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2019-08/</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(33 monthly folders in total)</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GHI/</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2019-07/</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2019-07-01_GHI.csv</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 (33 monthly folders in total)</w:t>
      </w:r>
    </w:p>
    <w:p>
      <w:pPr>
        <w:spacing w:after="160"/>
        <w:jc w:val="both"/>
      </w:pPr>
      <w:r>
        <w:t xml:space="preserve">Each individual CSV file contains a small handful of daily readings for a single parameter — the files are not one-row-per-day but rather short batches, so the notebook and the project both had to concatenate every file within a folder (and every folder) before a complete picture of the timeline emerged.</w:t>
      </w:r>
    </w:p>
    <w:p>
      <w:pPr>
        <w:pStyle w:val="Heading2"/>
        <w:spacing w:after="120" w:before="240"/>
      </w:pPr>
      <w:r>
        <w:t xml:space="preserve">5.2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Present In</w:t>
            </w:r>
          </w:p>
        </w:tc>
        <w:tc>
          <w:tcPr>
            <w:tcW w:type="dxa" w:w="47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70"/>
              <w:left w:type="dxa" w:w="100"/>
              <w:bottom w:type="dxa" w:w="70"/>
              <w:right w:type="dxa" w:w="100"/>
            </w:tcMar>
            <w:vAlign w:val="center"/>
          </w:tcPr>
          <w:p>
            <w:r>
              <w:rPr>
                <w:sz w:val="20"/>
                <w:szCs w:val="20"/>
              </w:rPr>
              <w:t xml:space="preserve">Date</w:t>
            </w:r>
          </w:p>
        </w:tc>
        <w:tc>
          <w:tcPr>
            <w:tcW w:type="dxa" w:w="2600"/>
            <w:tcMar>
              <w:top w:type="dxa" w:w="70"/>
              <w:left w:type="dxa" w:w="100"/>
              <w:bottom w:type="dxa" w:w="70"/>
              <w:right w:type="dxa" w:w="100"/>
            </w:tcMar>
            <w:vAlign w:val="center"/>
          </w:tcPr>
          <w:p>
            <w:r>
              <w:rPr>
                <w:sz w:val="20"/>
                <w:szCs w:val="20"/>
              </w:rPr>
              <w:t xml:space="preserve">Both PR and GHI files</w:t>
            </w:r>
          </w:p>
        </w:tc>
        <w:tc>
          <w:tcPr>
            <w:tcW w:type="dxa" w:w="4700"/>
            <w:tcMar>
              <w:top w:type="dxa" w:w="70"/>
              <w:left w:type="dxa" w:w="100"/>
              <w:bottom w:type="dxa" w:w="70"/>
              <w:right w:type="dxa" w:w="100"/>
            </w:tcMar>
            <w:vAlign w:val="center"/>
          </w:tcPr>
          <w:p>
            <w:r>
              <w:rPr>
                <w:sz w:val="20"/>
                <w:szCs w:val="20"/>
              </w:rPr>
              <w:t xml:space="preserve">Calendar date of the reading, read as text and later converted to a pandas datetime.</w:t>
            </w:r>
          </w:p>
        </w:tc>
      </w:tr>
      <w:tr>
        <w:tc>
          <w:tcPr>
            <w:tcW w:type="dxa" w:w="2200"/>
            <w:tcMar>
              <w:top w:type="dxa" w:w="70"/>
              <w:left w:type="dxa" w:w="100"/>
              <w:bottom w:type="dxa" w:w="70"/>
              <w:right w:type="dxa" w:w="100"/>
            </w:tcMar>
            <w:vAlign w:val="center"/>
          </w:tcPr>
          <w:p>
            <w:r>
              <w:rPr>
                <w:sz w:val="20"/>
                <w:szCs w:val="20"/>
              </w:rPr>
              <w:t xml:space="preserve">PR</w:t>
            </w:r>
          </w:p>
        </w:tc>
        <w:tc>
          <w:tcPr>
            <w:tcW w:type="dxa" w:w="2600"/>
            <w:tcMar>
              <w:top w:type="dxa" w:w="70"/>
              <w:left w:type="dxa" w:w="100"/>
              <w:bottom w:type="dxa" w:w="70"/>
              <w:right w:type="dxa" w:w="100"/>
            </w:tcMar>
            <w:vAlign w:val="center"/>
          </w:tcPr>
          <w:p>
            <w:r>
              <w:rPr>
                <w:sz w:val="20"/>
                <w:szCs w:val="20"/>
              </w:rPr>
              <w:t xml:space="preserve">PR files</w:t>
            </w:r>
          </w:p>
        </w:tc>
        <w:tc>
          <w:tcPr>
            <w:tcW w:type="dxa" w:w="4700"/>
            <w:tcMar>
              <w:top w:type="dxa" w:w="70"/>
              <w:left w:type="dxa" w:w="100"/>
              <w:bottom w:type="dxa" w:w="70"/>
              <w:right w:type="dxa" w:w="100"/>
            </w:tcMar>
            <w:vAlign w:val="center"/>
          </w:tcPr>
          <w:p>
            <w:r>
              <w:rPr>
                <w:sz w:val="20"/>
                <w:szCs w:val="20"/>
              </w:rPr>
              <w:t xml:space="preserve">Daily Performance Ratio (%) — the ratio of actual to theoretically possible plant output.</w:t>
            </w:r>
          </w:p>
        </w:tc>
      </w:tr>
      <w:tr>
        <w:tc>
          <w:tcPr>
            <w:tcW w:type="dxa" w:w="2200"/>
            <w:tcMar>
              <w:top w:type="dxa" w:w="70"/>
              <w:left w:type="dxa" w:w="100"/>
              <w:bottom w:type="dxa" w:w="70"/>
              <w:right w:type="dxa" w:w="100"/>
            </w:tcMar>
            <w:vAlign w:val="center"/>
          </w:tcPr>
          <w:p>
            <w:r>
              <w:rPr>
                <w:sz w:val="20"/>
                <w:szCs w:val="20"/>
              </w:rPr>
              <w:t xml:space="preserve">GHI</w:t>
            </w:r>
          </w:p>
        </w:tc>
        <w:tc>
          <w:tcPr>
            <w:tcW w:type="dxa" w:w="2600"/>
            <w:tcMar>
              <w:top w:type="dxa" w:w="70"/>
              <w:left w:type="dxa" w:w="100"/>
              <w:bottom w:type="dxa" w:w="70"/>
              <w:right w:type="dxa" w:w="100"/>
            </w:tcMar>
            <w:vAlign w:val="center"/>
          </w:tcPr>
          <w:p>
            <w:r>
              <w:rPr>
                <w:sz w:val="20"/>
                <w:szCs w:val="20"/>
              </w:rPr>
              <w:t xml:space="preserve">GHI files</w:t>
            </w:r>
          </w:p>
        </w:tc>
        <w:tc>
          <w:tcPr>
            <w:tcW w:type="dxa" w:w="4700"/>
            <w:tcMar>
              <w:top w:type="dxa" w:w="70"/>
              <w:left w:type="dxa" w:w="100"/>
              <w:bottom w:type="dxa" w:w="70"/>
              <w:right w:type="dxa" w:w="100"/>
            </w:tcMar>
            <w:vAlign w:val="center"/>
          </w:tcPr>
          <w:p>
            <w:r>
              <w:rPr>
                <w:sz w:val="20"/>
                <w:szCs w:val="20"/>
              </w:rPr>
              <w:t xml:space="preserve">Daily Global Horizontal Irradiance — total solar irradiation received that day.</w:t>
            </w:r>
          </w:p>
        </w:tc>
      </w:tr>
    </w:tbl>
    <w:p>
      <w:pPr>
        <w:pStyle w:val="Heading2"/>
        <w:spacing w:after="120" w:before="240"/>
      </w:pPr>
      <w:r>
        <w:t xml:space="preserve">5.3 Dataset Scale</w:t>
      </w:r>
    </w:p>
    <w:p>
      <w:pPr>
        <w:spacing w:after="160"/>
        <w:jc w:val="both"/>
      </w:pPr>
      <w:r>
        <w:t xml:space="preserve">In total, 394 raw CSV files were provided (197 for PR, 197 for GHI). After the two parameter datasets were individually concatenated and then merged on Date, the resulting dataset holds 982 rows — one row per day with a matching PR and GHI reading — spanning 1 July 2019 to 24 March 2022, roughly two years and nine months of plant history. No duplicate dates or missing values were found in either the PR or the GHI dataset, so the inner merge on Date did not drop any rows.</w:t>
      </w:r>
    </w:p>
    <w:p>
      <w:r>
        <w:br w:type="page"/>
      </w:r>
    </w:p>
    <w:p>
      <w:pPr>
        <w:pStyle w:val="Heading1"/>
        <w:spacing w:after="180" w:before="360"/>
      </w:pPr>
      <w:r>
        <w:t xml:space="preserve">6. Project Workflow</w:t>
      </w:r>
    </w:p>
    <w:p>
      <w:pPr>
        <w:spacing w:after="160"/>
        <w:jc w:val="both"/>
      </w:pPr>
      <w:r>
        <w:t xml:space="preserve">The project was built the same way it is meant to be read: as a linear pipeline, starting from raw files on disk and ending in a saved PNG chart. The workflow below reflects the actual order of development, first worked out in the two Jupyter notebooks and then carried over into the modular Python project.</w:t>
      </w:r>
    </w:p>
    <w:p>
      <w:pPr>
        <w:spacing w:after="160"/>
        <w:jc w:val="both"/>
      </w:pPr>
      <w:r>
        <w:rPr>
          <w:b/>
          <w:bCs/>
        </w:rPr>
        <w:t xml:space="preserve">Step 1 — Understand the folder structure</w:t>
      </w:r>
    </w:p>
    <w:p>
      <w:pPr>
        <w:spacing w:after="160"/>
        <w:jc w:val="both"/>
      </w:pPr>
      <w:r>
        <w:t xml:space="preserve">Before writing any code, the raw data/PR and data/GHI trees were inspected to confirm the monthly-folder pattern and the naming convention of each daily file.</w:t>
      </w:r>
    </w:p>
    <w:p>
      <w:pPr>
        <w:spacing w:after="160"/>
        <w:jc w:val="both"/>
      </w:pPr>
      <w:r>
        <w:rPr>
          <w:b/>
          <w:bCs/>
        </w:rPr>
        <w:t xml:space="preserve">Step 2 — Read all CSV files recursively</w:t>
      </w:r>
    </w:p>
    <w:p>
      <w:pPr>
        <w:spacing w:after="160"/>
        <w:jc w:val="both"/>
      </w:pPr>
      <w:r>
        <w:t xml:space="preserve">Using pathlib.Path.rglob("*.csv"), every PR file was located regardless of which month-folder it lived in, and the same was done for GHI. This avoided hard-coding folder names or dates.</w:t>
      </w:r>
    </w:p>
    <w:p>
      <w:pPr>
        <w:spacing w:after="160"/>
        <w:jc w:val="both"/>
      </w:pPr>
      <w:r>
        <w:rPr>
          <w:b/>
          <w:bCs/>
        </w:rPr>
        <w:t xml:space="preserve">Step 3 — Create the PR dataframe</w:t>
      </w:r>
    </w:p>
    <w:p>
      <w:pPr>
        <w:spacing w:after="160"/>
        <w:jc w:val="both"/>
      </w:pPr>
      <w:r>
        <w:t xml:space="preserve">Every PR file was read with pandas.read_csv and concatenated into one PR dataframe using pd.concat(..., ignore_index=True).</w:t>
      </w:r>
    </w:p>
    <w:p>
      <w:pPr>
        <w:spacing w:after="160"/>
        <w:jc w:val="both"/>
      </w:pPr>
      <w:r>
        <w:rPr>
          <w:b/>
          <w:bCs/>
        </w:rPr>
        <w:t xml:space="preserve">Step 4 — Create the GHI dataframe</w:t>
      </w:r>
    </w:p>
    <w:p>
      <w:pPr>
        <w:spacing w:after="160"/>
        <w:jc w:val="both"/>
      </w:pPr>
      <w:r>
        <w:t xml:space="preserve">The identical process was repeated for the GHI files, producing a separate GHI dataframe.</w:t>
      </w:r>
    </w:p>
    <w:p>
      <w:pPr>
        <w:spacing w:after="160"/>
        <w:jc w:val="both"/>
      </w:pPr>
      <w:r>
        <w:rPr>
          <w:b/>
          <w:bCs/>
        </w:rPr>
        <w:t xml:space="preserve">Step 5 — Merge on Date</w:t>
      </w:r>
    </w:p>
    <w:p>
      <w:pPr>
        <w:spacing w:after="160"/>
        <w:jc w:val="both"/>
      </w:pPr>
      <w:r>
        <w:t xml:space="preserve">The PR and GHI dataframes were merged with pd.merge(pr_df, ghi_df, on="Date", how="inner"), giving one row per day with both readings present.</w:t>
      </w:r>
    </w:p>
    <w:p>
      <w:pPr>
        <w:spacing w:after="160"/>
        <w:jc w:val="both"/>
      </w:pPr>
      <w:r>
        <w:rPr>
          <w:b/>
          <w:bCs/>
        </w:rPr>
        <w:t xml:space="preserve">Step 6 — Data preprocessing</w:t>
      </w:r>
    </w:p>
    <w:p>
      <w:pPr>
        <w:spacing w:after="160"/>
        <w:jc w:val="both"/>
      </w:pPr>
      <w:r>
        <w:t xml:space="preserve">The merged Date column (read as plain text by default) was converted to a proper datetime type, and the dataframe was sorted chronologically and re-indexed.</w:t>
      </w:r>
    </w:p>
    <w:p>
      <w:pPr>
        <w:spacing w:after="160"/>
        <w:jc w:val="both"/>
      </w:pPr>
      <w:r>
        <w:rPr>
          <w:b/>
          <w:bCs/>
        </w:rPr>
        <w:t xml:space="preserve">Step 7 — Feature engineering</w:t>
      </w:r>
    </w:p>
    <w:p>
      <w:pPr>
        <w:spacing w:after="160"/>
        <w:jc w:val="both"/>
      </w:pPr>
      <w:r>
        <w:t xml:space="preserve">Additional columns were derived for plotting: a GHI-based colour category, the 30-day moving average of PR, the financial year each date belongs to, and the dynamically-calculated Budget PR for that financial year.</w:t>
      </w:r>
    </w:p>
    <w:p>
      <w:pPr>
        <w:spacing w:after="160"/>
        <w:jc w:val="both"/>
      </w:pPr>
      <w:r>
        <w:rPr>
          <w:b/>
          <w:bCs/>
        </w:rPr>
        <w:t xml:space="preserve">Step 8 — Visualization</w:t>
      </w:r>
    </w:p>
    <w:p>
      <w:pPr>
        <w:spacing w:after="160"/>
        <w:jc w:val="both"/>
      </w:pPr>
      <w:r>
        <w:t xml:space="preserve">The Performance Ratio Evolution chart was built up incrementally — starting from a bare scatter plot and layering in colour coding, the moving average, the budget line, annotations, the statistics box, and the legend (see Section 8 for the full breakdown).</w:t>
      </w:r>
    </w:p>
    <w:p>
      <w:pPr>
        <w:spacing w:after="160"/>
        <w:jc w:val="both"/>
      </w:pPr>
      <w:r>
        <w:rPr>
          <w:b/>
          <w:bCs/>
        </w:rPr>
        <w:t xml:space="preserve">Step 9 — Bonus implementation</w:t>
      </w:r>
    </w:p>
    <w:p>
      <w:pPr>
        <w:spacing w:after="160"/>
        <w:jc w:val="both"/>
      </w:pPr>
      <w:r>
        <w:t xml:space="preserve">The notebook logic was wrapped into functions and exposed through a command-line interface (argparse) so the same graph could be regenerated for any --start_date / --end_date window.</w:t>
      </w:r>
    </w:p>
    <w:p>
      <w:pPr>
        <w:spacing w:after="160"/>
        <w:jc w:val="both"/>
      </w:pPr>
      <w:r>
        <w:rPr>
          <w:b/>
          <w:bCs/>
        </w:rPr>
        <w:t xml:space="preserve">Final Output</w:t>
      </w:r>
    </w:p>
    <w:p>
      <w:pPr>
        <w:spacing w:after="160"/>
        <w:jc w:val="both"/>
      </w:pPr>
      <w:r>
        <w:t xml:space="preserve">Running the project produces two files: output/merged_data.csv (the full merged dataset) and output/performance_ratio.png (the graph, filtered to whatever date range was requested).</w:t>
      </w:r>
    </w:p>
    <w:p>
      <w:pPr>
        <w:pStyle w:val="Heading2"/>
        <w:spacing w:after="120" w:before="240"/>
      </w:pPr>
      <w:r>
        <w:t xml:space="preserve">6.1 Workflow Diagram</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Raw PR CSVs          Raw GHI CSVs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(data/PR/**)         (data/GHI/**)</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Recursive read       Recursive read</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pr_df                ghi_df</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merge on "Date"</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datetime conversion + sort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merged_data.csv</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feature engineering (colour,</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30-day MA, budget, FY index)</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optional --start_date/--end_date filter</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Performance Ratio Evolution</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chart (.png)</w:t>
      </w:r>
    </w:p>
    <w:p>
      <w:r>
        <w:br w:type="page"/>
      </w:r>
    </w:p>
    <w:p>
      <w:pPr>
        <w:pStyle w:val="Heading1"/>
        <w:spacing w:after="180" w:before="360"/>
      </w:pPr>
      <w:r>
        <w:t xml:space="preserve">7. Data Preprocessing</w:t>
      </w:r>
    </w:p>
    <w:p>
      <w:pPr>
        <w:spacing w:after="160"/>
        <w:jc w:val="both"/>
      </w:pPr>
      <w:r>
        <w:t xml:space="preserve">All preprocessing lives in a single function, preprocess_data(pr_folder, ghi_folder), so that the logic is easy to test and reuse independently of the plotting code. Each step below exists for a specific, deliberate reason.</w:t>
      </w:r>
    </w:p>
    <w:p>
      <w:pPr>
        <w:pStyle w:val="Heading2"/>
        <w:spacing w:after="120" w:before="240"/>
      </w:pPr>
      <w:r>
        <w:t xml:space="preserve">7.1 Recursive File Search</w:t>
      </w:r>
    </w:p>
    <w:p>
      <w:pPr>
        <w:spacing w:after="160"/>
        <w:jc w:val="both"/>
      </w:pPr>
      <w:r>
        <w:t xml:space="preserve">Path(pr_folder).rglob("*.csv") and the equivalent for GHI were used instead of a fixed list of file names. Because the data is scattered across 33 month-named sub-folders per parameter, any approach that hard-coded folder or file names would break the moment new months of data were added. rglob makes the pipeline future-proof: dropping a new month's folder into data/PR or data/GHI is enough for it to be picked up automatically.</w:t>
      </w:r>
    </w:p>
    <w:p>
      <w:pPr>
        <w:pStyle w:val="Heading2"/>
        <w:spacing w:after="120" w:before="240"/>
      </w:pPr>
      <w:r>
        <w:t xml:space="preserve">7.2 Concatenation</w:t>
      </w:r>
    </w:p>
    <w:p>
      <w:pPr>
        <w:spacing w:after="160"/>
        <w:jc w:val="both"/>
      </w:pPr>
      <w:r>
        <w:t xml:space="preserve">Each daily file only contains a handful of readings, so pd.concat(..., ignore_index=True) was used to stack every file's rows into one continuous PR dataframe, and separately into one continuous GHI dataframe. ignore_index=True was important here — without it, the row index would repeat across files, which would silently break later sorting and row-count assumptions.</w:t>
      </w:r>
    </w:p>
    <w:p>
      <w:pPr>
        <w:pStyle w:val="Heading2"/>
        <w:spacing w:after="120" w:before="240"/>
      </w:pPr>
      <w:r>
        <w:t xml:space="preserve">7.3 Merging on Date</w:t>
      </w:r>
    </w:p>
    <w:p>
      <w:pPr>
        <w:spacing w:after="160"/>
        <w:jc w:val="both"/>
      </w:pPr>
      <w:r>
        <w:t xml:space="preserve">PR and GHI are two independent measurements of the same day, so the natural join key is Date. An inner merge was used deliberately: if a date existed in one dataset but not the other, that day cannot be meaningfully analysed (there is no PR to compare against, or no GHI to explain PR), so it is correctly dropped rather than filled in with a guess. In this dataset, both PR and GHI happened to be complete for every date, so the inner merge did not lose any rows — all 982 dates matched.</w:t>
      </w:r>
    </w:p>
    <w:p>
      <w:pPr>
        <w:pStyle w:val="Heading2"/>
        <w:spacing w:after="120" w:before="240"/>
      </w:pPr>
      <w:r>
        <w:t xml:space="preserve">7.4 Datetime Conversion</w:t>
      </w:r>
    </w:p>
    <w:p>
      <w:pPr>
        <w:spacing w:after="160"/>
        <w:jc w:val="both"/>
      </w:pPr>
      <w:r>
        <w:t xml:space="preserve">Date arrives from the CSV files as plain text. pd.to_datetime(merged_df["Date"]) converts it into an actual datetime type, which is what makes every later step possible: sorting chronologically, applying a 30-day rolling window, and computing which financial year each date belongs to all depend on Date being a real datetime rather than a string.</w:t>
      </w:r>
    </w:p>
    <w:p>
      <w:pPr>
        <w:pStyle w:val="Heading2"/>
        <w:spacing w:after="120" w:before="240"/>
      </w:pPr>
      <w:r>
        <w:t xml:space="preserve">7.5 Sorting</w:t>
      </w:r>
    </w:p>
    <w:p>
      <w:pPr>
        <w:spacing w:after="160"/>
        <w:jc w:val="both"/>
      </w:pPr>
      <w:r>
        <w:t xml:space="preserve">Because the files are read in whatever order the operating system returns them, the merged dataframe is not guaranteed to be in chronological order until it is explicitly sorted. sort_values("Date") followed by reset_index(drop=True) guarantees the rows are in date order and cleanly indexed, which matters directly for the 30-day moving average — a rolling window only makes sense over a chronologically ordered series.</w:t>
      </w:r>
    </w:p>
    <w:p>
      <w:pPr>
        <w:pStyle w:val="Heading2"/>
        <w:spacing w:after="120" w:before="240"/>
      </w:pPr>
      <w:r>
        <w:t xml:space="preserve">7.6 Handling Duplicates</w:t>
      </w:r>
    </w:p>
    <w:p>
      <w:pPr>
        <w:spacing w:after="160"/>
        <w:jc w:val="both"/>
      </w:pPr>
      <w:r>
        <w:t xml:space="preserve">Before finalising the merge, both the PR and GHI dataframes were checked for duplicate dates. None were found — every date appears exactly once in each dataset — so no de-duplication logic was needed in the final pipeline. This check is still worth recording because it explains why the merge step does not include any additional safeguards against duplicate rows.</w:t>
      </w:r>
    </w:p>
    <w:p>
      <w:pPr>
        <w:pStyle w:val="Heading2"/>
        <w:spacing w:after="120" w:before="240"/>
      </w:pPr>
      <w:r>
        <w:t xml:space="preserve">7.7 Creating the Colour Category</w:t>
      </w:r>
    </w:p>
    <w:p>
      <w:pPr>
        <w:spacing w:after="160"/>
        <w:jc w:val="both"/>
      </w:pPr>
      <w:r>
        <w:t xml:space="preserve">A get_color(ghi) function maps each day's GHI value into one of four bands: navy for GHI below 2, sky blue for 2 up to 4, orange for 4 up to 6, and brown for 6 and above. This column exists purely to drive the scatter plot's colour coding described in Section 8 — it lets a reader see, at a glance, whether a low-PR day was low because the plant underperformed on a normal sunlight day, or simply because it was a low-irradiance day to begin with.</w:t>
      </w:r>
    </w:p>
    <w:p>
      <w:pPr>
        <w:pStyle w:val="Heading2"/>
        <w:spacing w:after="120" w:before="240"/>
      </w:pPr>
      <w:r>
        <w:t xml:space="preserve">7.8 Creating the Budget Column</w:t>
      </w:r>
    </w:p>
    <w:p>
      <w:pPr>
        <w:spacing w:after="160"/>
        <w:jc w:val="both"/>
      </w:pPr>
      <w:r>
        <w:t xml:space="preserve">A Budget column is computed for every row using the financial-year-aware calculate_budget(date) function (see Section 9 for the full formula). This is deliberately calculated per row rather than per year and then broadcast, so that the same function keeps working correctly however the dataframe is later filtered by date — including for the bonus date-range feature, where a filtered subset of the data still needs a correct, self-consistent budget line.</w:t>
      </w:r>
    </w:p>
    <w:p>
      <w:r>
        <w:br w:type="page"/>
      </w:r>
    </w:p>
    <w:p>
      <w:pPr>
        <w:pStyle w:val="Heading1"/>
        <w:spacing w:after="180" w:before="360"/>
      </w:pPr>
      <w:r>
        <w:t xml:space="preserve">8. Visualization Development</w:t>
      </w:r>
    </w:p>
    <w:p>
      <w:pPr>
        <w:spacing w:after="160"/>
        <w:jc w:val="both"/>
      </w:pPr>
      <w:r>
        <w:t xml:space="preserve">The chart was not written in one pass. It was built incrementally in the visualization notebook, one layer at a time, checking the plot visually after every addition before moving to the next. That incremental process is reflected below.</w:t>
      </w:r>
    </w:p>
    <w:p>
      <w:pPr>
        <w:pStyle w:val="Heading2"/>
        <w:spacing w:after="120" w:before="240"/>
      </w:pPr>
      <w:r>
        <w:t xml:space="preserve">Step 1 — Basic Scatter Plot</w:t>
      </w:r>
    </w:p>
    <w:p>
      <w:pPr>
        <w:spacing w:after="160"/>
        <w:jc w:val="both"/>
      </w:pPr>
      <w:r>
        <w:t xml:space="preserve">The very first version was a plain plt.scatter(data["Date"], data["PR"]) with no colour, no lines, and no labels. Its only purpose was to confirm that the merged data plotted sensibly along the timeline before any further complexity was added.</w:t>
      </w:r>
    </w:p>
    <w:p>
      <w:pPr>
        <w:pStyle w:val="Heading2"/>
        <w:spacing w:after="120" w:before="240"/>
      </w:pPr>
      <w:r>
        <w:t xml:space="preserve">Step 2 — Colour Coding Using GHI</w:t>
      </w:r>
    </w:p>
    <w:p>
      <w:pPr>
        <w:spacing w:after="160"/>
        <w:jc w:val="both"/>
      </w:pPr>
      <w:r>
        <w:t xml:space="preserve">Once the basic scatter plot was confirmed, each point was coloured using the Color column derived in Section 7.7. This turns a single, flat scatter plot into a two-dimensional read: the vertical position shows PR, and the colour shows how sunny that day was — so a viewer can immediately separate 'the plant struggled on a good sunlight day' from 'PR was low because it was a dim day, which is expected.'</w:t>
      </w:r>
    </w:p>
    <w:p>
      <w:pPr>
        <w:pStyle w:val="Heading2"/>
        <w:spacing w:after="120" w:before="240"/>
      </w:pPr>
      <w:r>
        <w:t xml:space="preserve">Step 3 — 30-Day Moving Average</w:t>
      </w:r>
    </w:p>
    <w:p>
      <w:pPr>
        <w:spacing w:after="160"/>
        <w:jc w:val="both"/>
      </w:pPr>
      <w:r>
        <w:t xml:space="preserve">Daily PR is naturally noisy — a single cloudy or hazy day can swing PR sharply without indicating any real change in plant health. A 30-day moving average (data["PR"].rolling(window=30).mean()), drawn as a red line, smooths that day-to-day noise out and reveals the underlying performance trend that matters for spotting genuine degradation.</w:t>
      </w:r>
    </w:p>
    <w:p>
      <w:pPr>
        <w:pStyle w:val="Heading2"/>
        <w:spacing w:after="120" w:before="240"/>
      </w:pPr>
      <w:r>
        <w:t xml:space="preserve">Step 4 — Dynamic Budget Line</w:t>
      </w:r>
    </w:p>
    <w:p>
      <w:pPr>
        <w:spacing w:after="160"/>
        <w:jc w:val="both"/>
      </w:pPr>
      <w:r>
        <w:t xml:space="preserve">A dark green line was added representing the Target Budget PR the plant is contractually or operationally expected to meet. Its value is not fixed — it is calculated per financial year using the compounding degradation formula in Section 9, so the line naturally steps down once every financial year without any year-specific values being hard-coded anywhere in the code.</w:t>
      </w:r>
    </w:p>
    <w:p>
      <w:pPr>
        <w:pStyle w:val="Heading2"/>
        <w:spacing w:after="120" w:before="240"/>
      </w:pPr>
      <w:r>
        <w:t xml:space="preserve">Step 5 — Financial Year Points Above Budget</w:t>
      </w:r>
    </w:p>
    <w:p>
      <w:pPr>
        <w:spacing w:after="160"/>
        <w:jc w:val="both"/>
      </w:pPr>
      <w:r>
        <w:t xml:space="preserve">Simply drawing the budget line is not enough to judge performance at a glance, so the number of days each financial year where actual PR exceeded that year's budget was computed (via a groupby("Budget_Year") on the Above_Budget boolean column) and annotated directly onto the chart, next to each financial year's budget segment. An overall count across the whole plotted range is also shown as a single summary line. Section 10 explains the financial-year grouping logic behind this in detail.</w:t>
      </w:r>
    </w:p>
    <w:p>
      <w:pPr>
        <w:pStyle w:val="Heading2"/>
        <w:spacing w:after="120" w:before="240"/>
      </w:pPr>
      <w:r>
        <w:t xml:space="preserve">Step 6 — Statistics Box</w:t>
      </w:r>
    </w:p>
    <w:p>
      <w:pPr>
        <w:spacing w:after="160"/>
        <w:jc w:val="both"/>
      </w:pPr>
      <w:r>
        <w:t xml:space="preserve">A small text box was added in the bottom-right corner of the chart summarising the average PR over the trailing 7, 30, 60, 90, and 365 days, plus the lifetime average PR across whatever range is plotted. This gives a reader a quick numeric anchor alongside the visual trend line, and — because it is recalculated from whatever data is passed in — it updates correctly for the bonus date-filtered runs as well.</w:t>
      </w:r>
    </w:p>
    <w:p>
      <w:pPr>
        <w:pStyle w:val="Heading2"/>
        <w:spacing w:after="120" w:before="240"/>
      </w:pPr>
      <w:r>
        <w:t xml:space="preserve">Step 7 — Legend</w:t>
      </w:r>
    </w:p>
    <w:p>
      <w:pPr>
        <w:spacing w:after="160"/>
        <w:jc w:val="both"/>
      </w:pPr>
      <w:r>
        <w:t xml:space="preserve">A custom legend was built using matplotlib's Line2D handles rather than the default auto-generated legend, because the chart mixes scatter markers (the four GHI colour bands) with line series (the moving average and the budget line) that Matplotlib's automatic legend does not combine cleanly. The custom legend explicitly lists all six entries — four GHI bands plus the two lines — in a single, readable block in the upper-left corner.</w:t>
      </w:r>
    </w:p>
    <w:p>
      <w:pPr>
        <w:pStyle w:val="Heading2"/>
        <w:spacing w:after="120" w:before="240"/>
      </w:pPr>
      <w:r>
        <w:t xml:space="preserve">Step 8 — Final Styling</w:t>
      </w:r>
    </w:p>
    <w:p>
      <w:pPr>
        <w:spacing w:after="160"/>
        <w:jc w:val="both"/>
      </w:pPr>
      <w:r>
        <w:t xml:space="preserve">The last pass focused on making the chart presentation-ready: a two-line title stating the exact date range being shown, axis labels, a dashed light grid for readability without visual clutter, month/year tick labels rotated for legibility, and a final high-resolution export (300 DPI, tight bounding box) so the PNG is suitable for direct inclusion in a report or slide deck.</w:t>
      </w:r>
    </w:p>
    <w:p>
      <w:r>
        <w:br w:type="page"/>
      </w:r>
    </w:p>
    <w:p>
      <w:pPr>
        <w:pStyle w:val="Heading1"/>
        <w:spacing w:after="180" w:before="360"/>
      </w:pPr>
      <w:r>
        <w:t xml:space="preserve">9. Budget Line Logic</w:t>
      </w:r>
    </w:p>
    <w:p>
      <w:pPr>
        <w:spacing w:after="160"/>
        <w:jc w:val="both"/>
      </w:pPr>
      <w:r>
        <w:t xml:space="preserve">The assessment specified that the Target Budget PR starts at 73.9 in the plant's first financial year and reduces by 0.8% every subsequent financial year, and — critically — that this must happen dynamically in code rather than through a hard-coded lookup table of values.</w:t>
      </w:r>
    </w:p>
    <w:p>
      <w:pPr>
        <w:pStyle w:val="Heading2"/>
        <w:spacing w:after="120" w:before="240"/>
      </w:pPr>
      <w:r>
        <w:t xml:space="preserve">9.1 Financial Year, Not Calendar Year</w:t>
      </w:r>
    </w:p>
    <w:p>
      <w:pPr>
        <w:spacing w:after="160"/>
        <w:jc w:val="both"/>
      </w:pPr>
      <w:r>
        <w:t xml:space="preserve">The plant's financial year runs from July to June, not January to December, matching the pattern shown in the assessment (Jul 2019 – Jun 2020 as year one, Jul 2020 – Jun 2021 as year two, and so on). The budget_year(date) function encodes this directly: for any date in July or later, the financial year index is date.year − 2019; for any date before July, it is date.year − 2020. This gives financial year 0 for the whole of Jul-2019–Jun-2020, financial year 1 for Jul-2020–Jun-2021, and financial year 2 for Jul-2021–Jun-2022.</w:t>
      </w:r>
    </w:p>
    <w:p>
      <w:pPr>
        <w:pStyle w:val="Heading2"/>
        <w:spacing w:after="120" w:before="240"/>
      </w:pPr>
      <w:r>
        <w:t xml:space="preserve">9.2 The Degradation Formula</w:t>
      </w:r>
    </w:p>
    <w:p>
      <w:pPr>
        <w:spacing w:after="160"/>
        <w:jc w:val="both"/>
      </w:pPr>
      <w:r>
        <w:t xml:space="preserve">The budget for a given date is calculated as: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Budget(date) = Base_Budget × (1 − Degradation) ^ budget_year(date)</w:t>
      </w:r>
    </w:p>
    <w:p>
      <w:pPr>
        <w:spacing w:after="160"/>
        <w:jc w:val="both"/>
      </w:pPr>
      <w:r>
        <w:t xml:space="preserve">with the two constants defined once, at the top of the module, as: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Base_Budget = 73.9</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Degradation = 0.008   # 0.8%</w:t>
      </w:r>
    </w:p>
    <w:p>
      <w:pPr>
        <w:spacing w:after="160"/>
        <w:jc w:val="both"/>
      </w:pPr>
      <w:r>
        <w:t xml:space="preserve">Because the formula raises (1 − Degradation) to the power of the financial-year index, the reduction compounds — each year's budget is 0.8% lower than the previous year's already-reduced budget, not 0.8% of the original 73.9 every time. This is what makes the calculation dynamic: adding a fourth, fifth, or twentieth financial year to the dataset requires no code changes at all, since budget_year(date) simply keeps counting upward and the formula keeps evaluating correctly.</w:t>
      </w:r>
    </w:p>
    <w:p>
      <w:pPr>
        <w:pStyle w:val="Heading2"/>
        <w:spacing w:after="120" w:before="240"/>
      </w:pPr>
      <w:r>
        <w:t xml:space="preserve">9.3 Resulting Budget Values</w:t>
      </w:r>
    </w:p>
    <w:p>
      <w:pPr>
        <w:spacing w:after="160"/>
        <w:jc w:val="both"/>
      </w:pPr>
      <w:r>
        <w:t xml:space="preserve">Applying the formula to the three financial years present in this dataset gives: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200"/>
        <w:gridCol w:w="13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Financial Year</w:t>
            </w:r>
          </w:p>
        </w:tc>
        <w:tc>
          <w:tcPr>
            <w:tcW w:type="dxa" w:w="3600"/>
            <w:shd w:fill="1F3864" w:val="clear"/>
            <w:tcMar>
              <w:top w:type="dxa" w:w="80"/>
              <w:left w:type="dxa" w:w="100"/>
              <w:bottom w:type="dxa" w:w="80"/>
              <w:right w:type="dxa" w:w="100"/>
            </w:tcMar>
            <w:vAlign w:val="center"/>
          </w:tcPr>
          <w:p>
            <w:r>
              <w:rPr>
                <w:b/>
                <w:bCs/>
                <w:color w:val="FFFFFF"/>
                <w:sz w:val="20"/>
                <w:szCs w:val="20"/>
              </w:rPr>
              <w:t xml:space="preserve">Period</w:t>
            </w:r>
          </w:p>
        </w:tc>
        <w:tc>
          <w:tcPr>
            <w:tcW w:type="dxa" w:w="2200"/>
            <w:shd w:fill="1F3864" w:val="clear"/>
            <w:tcMar>
              <w:top w:type="dxa" w:w="80"/>
              <w:left w:type="dxa" w:w="100"/>
              <w:bottom w:type="dxa" w:w="80"/>
              <w:right w:type="dxa" w:w="100"/>
            </w:tcMar>
            <w:vAlign w:val="center"/>
          </w:tcPr>
          <w:p>
            <w:r>
              <w:rPr>
                <w:b/>
                <w:bCs/>
                <w:color w:val="FFFFFF"/>
                <w:sz w:val="20"/>
                <w:szCs w:val="20"/>
              </w:rPr>
              <w:t xml:space="preserve">Budget_Year Index</w:t>
            </w:r>
          </w:p>
        </w:tc>
        <w:tc>
          <w:tcPr>
            <w:tcW w:type="dxa" w:w="1300"/>
            <w:shd w:fill="1F3864" w:val="clear"/>
            <w:tcMar>
              <w:top w:type="dxa" w:w="80"/>
              <w:left w:type="dxa" w:w="100"/>
              <w:bottom w:type="dxa" w:w="80"/>
              <w:right w:type="dxa" w:w="100"/>
            </w:tcMar>
            <w:vAlign w:val="center"/>
          </w:tcPr>
          <w:p>
            <w:r>
              <w:rPr>
                <w:b/>
                <w:bCs/>
                <w:color w:val="FFFFFF"/>
                <w:sz w:val="20"/>
                <w:szCs w:val="20"/>
              </w:rPr>
              <w:t xml:space="preserve">Budget PR</w:t>
            </w:r>
          </w:p>
        </w:tc>
      </w:tr>
      <w:tr>
        <w:tc>
          <w:tcPr>
            <w:tcW w:type="dxa" w:w="2400"/>
            <w:tcMar>
              <w:top w:type="dxa" w:w="70"/>
              <w:left w:type="dxa" w:w="100"/>
              <w:bottom w:type="dxa" w:w="70"/>
              <w:right w:type="dxa" w:w="100"/>
            </w:tcMar>
            <w:vAlign w:val="center"/>
          </w:tcPr>
          <w:p>
            <w:r>
              <w:rPr>
                <w:sz w:val="20"/>
                <w:szCs w:val="20"/>
              </w:rPr>
              <w:t xml:space="preserve">Year 1</w:t>
            </w:r>
          </w:p>
        </w:tc>
        <w:tc>
          <w:tcPr>
            <w:tcW w:type="dxa" w:w="3600"/>
            <w:tcMar>
              <w:top w:type="dxa" w:w="70"/>
              <w:left w:type="dxa" w:w="100"/>
              <w:bottom w:type="dxa" w:w="70"/>
              <w:right w:type="dxa" w:w="100"/>
            </w:tcMar>
            <w:vAlign w:val="center"/>
          </w:tcPr>
          <w:p>
            <w:r>
              <w:rPr>
                <w:sz w:val="20"/>
                <w:szCs w:val="20"/>
              </w:rPr>
              <w:t xml:space="preserve">Jul 2019 – Jun 2020</w:t>
            </w:r>
          </w:p>
        </w:tc>
        <w:tc>
          <w:tcPr>
            <w:tcW w:type="dxa" w:w="2200"/>
            <w:tcMar>
              <w:top w:type="dxa" w:w="70"/>
              <w:left w:type="dxa" w:w="100"/>
              <w:bottom w:type="dxa" w:w="70"/>
              <w:right w:type="dxa" w:w="100"/>
            </w:tcMar>
            <w:vAlign w:val="center"/>
          </w:tcPr>
          <w:p>
            <w:r>
              <w:rPr>
                <w:sz w:val="20"/>
                <w:szCs w:val="20"/>
              </w:rPr>
              <w:t xml:space="preserve">0</w:t>
            </w:r>
          </w:p>
        </w:tc>
        <w:tc>
          <w:tcPr>
            <w:tcW w:type="dxa" w:w="1300"/>
            <w:tcMar>
              <w:top w:type="dxa" w:w="70"/>
              <w:left w:type="dxa" w:w="100"/>
              <w:bottom w:type="dxa" w:w="70"/>
              <w:right w:type="dxa" w:w="100"/>
            </w:tcMar>
            <w:vAlign w:val="center"/>
          </w:tcPr>
          <w:p>
            <w:r>
              <w:rPr>
                <w:sz w:val="20"/>
                <w:szCs w:val="20"/>
              </w:rPr>
              <w:t xml:space="preserve">73.90%</w:t>
            </w:r>
          </w:p>
        </w:tc>
      </w:tr>
      <w:tr>
        <w:tc>
          <w:tcPr>
            <w:tcW w:type="dxa" w:w="2400"/>
            <w:tcMar>
              <w:top w:type="dxa" w:w="70"/>
              <w:left w:type="dxa" w:w="100"/>
              <w:bottom w:type="dxa" w:w="70"/>
              <w:right w:type="dxa" w:w="100"/>
            </w:tcMar>
            <w:vAlign w:val="center"/>
          </w:tcPr>
          <w:p>
            <w:r>
              <w:rPr>
                <w:sz w:val="20"/>
                <w:szCs w:val="20"/>
              </w:rPr>
              <w:t xml:space="preserve">Year 2</w:t>
            </w:r>
          </w:p>
        </w:tc>
        <w:tc>
          <w:tcPr>
            <w:tcW w:type="dxa" w:w="3600"/>
            <w:tcMar>
              <w:top w:type="dxa" w:w="70"/>
              <w:left w:type="dxa" w:w="100"/>
              <w:bottom w:type="dxa" w:w="70"/>
              <w:right w:type="dxa" w:w="100"/>
            </w:tcMar>
            <w:vAlign w:val="center"/>
          </w:tcPr>
          <w:p>
            <w:r>
              <w:rPr>
                <w:sz w:val="20"/>
                <w:szCs w:val="20"/>
              </w:rPr>
              <w:t xml:space="preserve">Jul 2020 – Jun 2021</w:t>
            </w:r>
          </w:p>
        </w:tc>
        <w:tc>
          <w:tcPr>
            <w:tcW w:type="dxa" w:w="2200"/>
            <w:tcMar>
              <w:top w:type="dxa" w:w="70"/>
              <w:left w:type="dxa" w:w="100"/>
              <w:bottom w:type="dxa" w:w="70"/>
              <w:right w:type="dxa" w:w="100"/>
            </w:tcMar>
            <w:vAlign w:val="center"/>
          </w:tcPr>
          <w:p>
            <w:r>
              <w:rPr>
                <w:sz w:val="20"/>
                <w:szCs w:val="20"/>
              </w:rPr>
              <w:t xml:space="preserve">1</w:t>
            </w:r>
          </w:p>
        </w:tc>
        <w:tc>
          <w:tcPr>
            <w:tcW w:type="dxa" w:w="1300"/>
            <w:tcMar>
              <w:top w:type="dxa" w:w="70"/>
              <w:left w:type="dxa" w:w="100"/>
              <w:bottom w:type="dxa" w:w="70"/>
              <w:right w:type="dxa" w:w="100"/>
            </w:tcMar>
            <w:vAlign w:val="center"/>
          </w:tcPr>
          <w:p>
            <w:r>
              <w:rPr>
                <w:sz w:val="20"/>
                <w:szCs w:val="20"/>
              </w:rPr>
              <w:t xml:space="preserve">73.31%</w:t>
            </w:r>
          </w:p>
        </w:tc>
      </w:tr>
      <w:tr>
        <w:tc>
          <w:tcPr>
            <w:tcW w:type="dxa" w:w="2400"/>
            <w:tcMar>
              <w:top w:type="dxa" w:w="70"/>
              <w:left w:type="dxa" w:w="100"/>
              <w:bottom w:type="dxa" w:w="70"/>
              <w:right w:type="dxa" w:w="100"/>
            </w:tcMar>
            <w:vAlign w:val="center"/>
          </w:tcPr>
          <w:p>
            <w:r>
              <w:rPr>
                <w:sz w:val="20"/>
                <w:szCs w:val="20"/>
              </w:rPr>
              <w:t xml:space="preserve">Year 3</w:t>
            </w:r>
          </w:p>
        </w:tc>
        <w:tc>
          <w:tcPr>
            <w:tcW w:type="dxa" w:w="3600"/>
            <w:tcMar>
              <w:top w:type="dxa" w:w="70"/>
              <w:left w:type="dxa" w:w="100"/>
              <w:bottom w:type="dxa" w:w="70"/>
              <w:right w:type="dxa" w:w="100"/>
            </w:tcMar>
            <w:vAlign w:val="center"/>
          </w:tcPr>
          <w:p>
            <w:r>
              <w:rPr>
                <w:sz w:val="20"/>
                <w:szCs w:val="20"/>
              </w:rPr>
              <w:t xml:space="preserve">Jul 2021 – Jun 2022 (partial, to 24 Mar 2022)</w:t>
            </w:r>
          </w:p>
        </w:tc>
        <w:tc>
          <w:tcPr>
            <w:tcW w:type="dxa" w:w="2200"/>
            <w:tcMar>
              <w:top w:type="dxa" w:w="70"/>
              <w:left w:type="dxa" w:w="100"/>
              <w:bottom w:type="dxa" w:w="70"/>
              <w:right w:type="dxa" w:w="100"/>
            </w:tcMar>
            <w:vAlign w:val="center"/>
          </w:tcPr>
          <w:p>
            <w:r>
              <w:rPr>
                <w:sz w:val="20"/>
                <w:szCs w:val="20"/>
              </w:rPr>
              <w:t xml:space="preserve">2</w:t>
            </w:r>
          </w:p>
        </w:tc>
        <w:tc>
          <w:tcPr>
            <w:tcW w:type="dxa" w:w="1300"/>
            <w:tcMar>
              <w:top w:type="dxa" w:w="70"/>
              <w:left w:type="dxa" w:w="100"/>
              <w:bottom w:type="dxa" w:w="70"/>
              <w:right w:type="dxa" w:w="100"/>
            </w:tcMar>
            <w:vAlign w:val="center"/>
          </w:tcPr>
          <w:p>
            <w:r>
              <w:rPr>
                <w:sz w:val="20"/>
                <w:szCs w:val="20"/>
              </w:rPr>
              <w:t xml:space="preserve">72.72%</w:t>
            </w:r>
          </w:p>
        </w:tc>
      </w:tr>
    </w:tbl>
    <w:p>
      <w:pPr>
        <w:spacing w:after="160"/>
        <w:jc w:val="both"/>
      </w:pPr>
      <w:r>
        <w:t xml:space="preserve">These are the exact values produced by the code — no year-specific number is written anywhere in the source; every value on this table is a consequence of the single formula above.</w:t>
      </w:r>
    </w:p>
    <w:p>
      <w:r>
        <w:br w:type="page"/>
      </w:r>
    </w:p>
    <w:p>
      <w:pPr>
        <w:pStyle w:val="Heading1"/>
        <w:spacing w:after="180" w:before="360"/>
      </w:pPr>
      <w:r>
        <w:t xml:space="preserve">10. Financial Year Analysis</w:t>
      </w:r>
    </w:p>
    <w:p>
      <w:pPr>
        <w:pStyle w:val="Heading2"/>
        <w:spacing w:after="120" w:before="240"/>
      </w:pPr>
      <w:r>
        <w:t xml:space="preserve">10.1 Points Above Budget</w:t>
      </w:r>
    </w:p>
    <w:p>
      <w:pPr>
        <w:spacing w:after="160"/>
        <w:jc w:val="both"/>
      </w:pPr>
      <w:r>
        <w:t xml:space="preserve">For every row, an Above_Budget boolean flag is set to True when that day's actual PR exceeded that day's Budget PR. Counting how often this happens — and, more usefully, how often it happens within each financial year — turns the budget line from a static reference into an actual performance scorecard: a financial year with many points above budget indicates the plant is comfortably beating its target; a financial year with few indicates it is struggling to keep up with its own (already declining) target.</w:t>
      </w:r>
    </w:p>
    <w:p>
      <w:pPr>
        <w:pStyle w:val="Heading2"/>
        <w:spacing w:after="120" w:before="240"/>
      </w:pPr>
      <w:r>
        <w:t xml:space="preserve">10.2 Why Financial Year Grouping</w:t>
      </w:r>
    </w:p>
    <w:p>
      <w:pPr>
        <w:spacing w:after="160"/>
        <w:jc w:val="both"/>
      </w:pPr>
      <w:r>
        <w:t xml:space="preserve">Grouping by calendar year would have split each budget period across two different Budget PR values (since the target changes every July, not every January), making any single calendar year's 'points above budget' count meaningless — part of the year would be measured against one budget, part against another. Grouping by the plant's own financial year (Jul–Jun) instead keeps every day in a group compared against exactly one, consistent budget value, which is the only grouping that makes the resulting count interpretable.</w:t>
      </w:r>
    </w:p>
    <w:p>
      <w:pPr>
        <w:pStyle w:val="Heading2"/>
        <w:spacing w:after="120" w:before="240"/>
      </w:pPr>
      <w:r>
        <w:t xml:space="preserve">10.3 Results for This Dataset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000"/>
        <w:gridCol w:w="200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Financial Year</w:t>
            </w:r>
          </w:p>
        </w:tc>
        <w:tc>
          <w:tcPr>
            <w:tcW w:type="dxa" w:w="1900"/>
            <w:shd w:fill="1F3864" w:val="clear"/>
            <w:tcMar>
              <w:top w:type="dxa" w:w="80"/>
              <w:left w:type="dxa" w:w="100"/>
              <w:bottom w:type="dxa" w:w="80"/>
              <w:right w:type="dxa" w:w="100"/>
            </w:tcMar>
            <w:vAlign w:val="center"/>
          </w:tcPr>
          <w:p>
            <w:r>
              <w:rPr>
                <w:b/>
                <w:bCs/>
                <w:color w:val="FFFFFF"/>
                <w:sz w:val="20"/>
                <w:szCs w:val="20"/>
              </w:rPr>
              <w:t xml:space="preserve">Days in Period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Days Above Budget</w:t>
            </w:r>
          </w:p>
        </w:tc>
        <w:tc>
          <w:tcPr>
            <w:tcW w:type="dxa" w:w="2000"/>
            <w:shd w:fill="1F3864" w:val="clear"/>
            <w:tcMar>
              <w:top w:type="dxa" w:w="80"/>
              <w:left w:type="dxa" w:w="100"/>
              <w:bottom w:type="dxa" w:w="80"/>
              <w:right w:type="dxa" w:w="100"/>
            </w:tcMar>
            <w:vAlign w:val="center"/>
          </w:tcPr>
          <w:p>
            <w:r>
              <w:rPr>
                <w:b/>
                <w:bCs/>
                <w:color w:val="FFFFFF"/>
                <w:sz w:val="20"/>
                <w:szCs w:val="20"/>
              </w:rPr>
              <w:t xml:space="preserve">% of Days Above Budget</w:t>
            </w:r>
          </w:p>
        </w:tc>
      </w:tr>
      <w:tr>
        <w:tc>
          <w:tcPr>
            <w:tcW w:type="dxa" w:w="3600"/>
            <w:tcMar>
              <w:top w:type="dxa" w:w="70"/>
              <w:left w:type="dxa" w:w="100"/>
              <w:bottom w:type="dxa" w:w="70"/>
              <w:right w:type="dxa" w:w="100"/>
            </w:tcMar>
            <w:vAlign w:val="center"/>
          </w:tcPr>
          <w:p>
            <w:r>
              <w:rPr>
                <w:sz w:val="20"/>
                <w:szCs w:val="20"/>
              </w:rPr>
              <w:t xml:space="preserve">Year 1 (Jul 2019 – Jun 2020)</w:t>
            </w:r>
          </w:p>
        </w:tc>
        <w:tc>
          <w:tcPr>
            <w:tcW w:type="dxa" w:w="1900"/>
            <w:tcMar>
              <w:top w:type="dxa" w:w="70"/>
              <w:left w:type="dxa" w:w="100"/>
              <w:bottom w:type="dxa" w:w="70"/>
              <w:right w:type="dxa" w:w="100"/>
            </w:tcMar>
            <w:vAlign w:val="center"/>
          </w:tcPr>
          <w:p>
            <w:r>
              <w:rPr>
                <w:sz w:val="20"/>
                <w:szCs w:val="20"/>
              </w:rPr>
              <w:t xml:space="preserve">366</w:t>
            </w:r>
          </w:p>
        </w:tc>
        <w:tc>
          <w:tcPr>
            <w:tcW w:type="dxa" w:w="2000"/>
            <w:tcMar>
              <w:top w:type="dxa" w:w="70"/>
              <w:left w:type="dxa" w:w="100"/>
              <w:bottom w:type="dxa" w:w="70"/>
              <w:right w:type="dxa" w:w="100"/>
            </w:tcMar>
            <w:vAlign w:val="center"/>
          </w:tcPr>
          <w:p>
            <w:r>
              <w:rPr>
                <w:sz w:val="20"/>
                <w:szCs w:val="20"/>
              </w:rPr>
              <w:t xml:space="preserve">179</w:t>
            </w:r>
          </w:p>
        </w:tc>
        <w:tc>
          <w:tcPr>
            <w:tcW w:type="dxa" w:w="2000"/>
            <w:tcMar>
              <w:top w:type="dxa" w:w="70"/>
              <w:left w:type="dxa" w:w="100"/>
              <w:bottom w:type="dxa" w:w="70"/>
              <w:right w:type="dxa" w:w="100"/>
            </w:tcMar>
            <w:vAlign w:val="center"/>
          </w:tcPr>
          <w:p>
            <w:r>
              <w:rPr>
                <w:sz w:val="20"/>
                <w:szCs w:val="20"/>
              </w:rPr>
              <w:t xml:space="preserve">48.9%</w:t>
            </w:r>
          </w:p>
        </w:tc>
      </w:tr>
      <w:tr>
        <w:tc>
          <w:tcPr>
            <w:tcW w:type="dxa" w:w="3600"/>
            <w:tcMar>
              <w:top w:type="dxa" w:w="70"/>
              <w:left w:type="dxa" w:w="100"/>
              <w:bottom w:type="dxa" w:w="70"/>
              <w:right w:type="dxa" w:w="100"/>
            </w:tcMar>
            <w:vAlign w:val="center"/>
          </w:tcPr>
          <w:p>
            <w:r>
              <w:rPr>
                <w:sz w:val="20"/>
                <w:szCs w:val="20"/>
              </w:rPr>
              <w:t xml:space="preserve">Year 2 (Jul 2020 – Jun 2021)</w:t>
            </w:r>
          </w:p>
        </w:tc>
        <w:tc>
          <w:tcPr>
            <w:tcW w:type="dxa" w:w="1900"/>
            <w:tcMar>
              <w:top w:type="dxa" w:w="70"/>
              <w:left w:type="dxa" w:w="100"/>
              <w:bottom w:type="dxa" w:w="70"/>
              <w:right w:type="dxa" w:w="100"/>
            </w:tcMar>
            <w:vAlign w:val="center"/>
          </w:tcPr>
          <w:p>
            <w:r>
              <w:rPr>
                <w:sz w:val="20"/>
                <w:szCs w:val="20"/>
              </w:rPr>
              <w:t xml:space="preserve">349</w:t>
            </w:r>
          </w:p>
        </w:tc>
        <w:tc>
          <w:tcPr>
            <w:tcW w:type="dxa" w:w="2000"/>
            <w:tcMar>
              <w:top w:type="dxa" w:w="70"/>
              <w:left w:type="dxa" w:w="100"/>
              <w:bottom w:type="dxa" w:w="70"/>
              <w:right w:type="dxa" w:w="100"/>
            </w:tcMar>
            <w:vAlign w:val="center"/>
          </w:tcPr>
          <w:p>
            <w:r>
              <w:rPr>
                <w:sz w:val="20"/>
                <w:szCs w:val="20"/>
              </w:rPr>
              <w:t xml:space="preserve">170</w:t>
            </w:r>
          </w:p>
        </w:tc>
        <w:tc>
          <w:tcPr>
            <w:tcW w:type="dxa" w:w="2000"/>
            <w:tcMar>
              <w:top w:type="dxa" w:w="70"/>
              <w:left w:type="dxa" w:w="100"/>
              <w:bottom w:type="dxa" w:w="70"/>
              <w:right w:type="dxa" w:w="100"/>
            </w:tcMar>
            <w:vAlign w:val="center"/>
          </w:tcPr>
          <w:p>
            <w:r>
              <w:rPr>
                <w:sz w:val="20"/>
                <w:szCs w:val="20"/>
              </w:rPr>
              <w:t xml:space="preserve">48.7%</w:t>
            </w:r>
          </w:p>
        </w:tc>
      </w:tr>
      <w:tr>
        <w:tc>
          <w:tcPr>
            <w:tcW w:type="dxa" w:w="3600"/>
            <w:tcMar>
              <w:top w:type="dxa" w:w="70"/>
              <w:left w:type="dxa" w:w="100"/>
              <w:bottom w:type="dxa" w:w="70"/>
              <w:right w:type="dxa" w:w="100"/>
            </w:tcMar>
            <w:vAlign w:val="center"/>
          </w:tcPr>
          <w:p>
            <w:r>
              <w:rPr>
                <w:sz w:val="20"/>
                <w:szCs w:val="20"/>
              </w:rPr>
              <w:t xml:space="preserve">Year 3 (Jul 2021 – Mar 2022, partial)</w:t>
            </w:r>
          </w:p>
        </w:tc>
        <w:tc>
          <w:tcPr>
            <w:tcW w:type="dxa" w:w="1900"/>
            <w:tcMar>
              <w:top w:type="dxa" w:w="70"/>
              <w:left w:type="dxa" w:w="100"/>
              <w:bottom w:type="dxa" w:w="70"/>
              <w:right w:type="dxa" w:w="100"/>
            </w:tcMar>
            <w:vAlign w:val="center"/>
          </w:tcPr>
          <w:p>
            <w:r>
              <w:rPr>
                <w:sz w:val="20"/>
                <w:szCs w:val="20"/>
              </w:rPr>
              <w:t xml:space="preserve">267</w:t>
            </w:r>
          </w:p>
        </w:tc>
        <w:tc>
          <w:tcPr>
            <w:tcW w:type="dxa" w:w="2000"/>
            <w:tcMar>
              <w:top w:type="dxa" w:w="70"/>
              <w:left w:type="dxa" w:w="100"/>
              <w:bottom w:type="dxa" w:w="70"/>
              <w:right w:type="dxa" w:w="100"/>
            </w:tcMar>
            <w:vAlign w:val="center"/>
          </w:tcPr>
          <w:p>
            <w:r>
              <w:rPr>
                <w:sz w:val="20"/>
                <w:szCs w:val="20"/>
              </w:rPr>
              <w:t xml:space="preserve">130</w:t>
            </w:r>
          </w:p>
        </w:tc>
        <w:tc>
          <w:tcPr>
            <w:tcW w:type="dxa" w:w="2000"/>
            <w:tcMar>
              <w:top w:type="dxa" w:w="70"/>
              <w:left w:type="dxa" w:w="100"/>
              <w:bottom w:type="dxa" w:w="70"/>
              <w:right w:type="dxa" w:w="100"/>
            </w:tcMar>
            <w:vAlign w:val="center"/>
          </w:tcPr>
          <w:p>
            <w:r>
              <w:rPr>
                <w:sz w:val="20"/>
                <w:szCs w:val="20"/>
              </w:rPr>
              <w:t xml:space="preserve">48.7%</w:t>
            </w:r>
          </w:p>
        </w:tc>
      </w:tr>
      <w:tr>
        <w:tc>
          <w:tcPr>
            <w:tcW w:type="dxa" w:w="3600"/>
            <w:tcMar>
              <w:top w:type="dxa" w:w="70"/>
              <w:left w:type="dxa" w:w="100"/>
              <w:bottom w:type="dxa" w:w="70"/>
              <w:right w:type="dxa" w:w="100"/>
            </w:tcMar>
            <w:vAlign w:val="center"/>
          </w:tcPr>
          <w:p>
            <w:r>
              <w:rPr>
                <w:sz w:val="20"/>
                <w:szCs w:val="20"/>
              </w:rPr>
              <w:t xml:space="preserve">Overall (full dataset)</w:t>
            </w:r>
          </w:p>
        </w:tc>
        <w:tc>
          <w:tcPr>
            <w:tcW w:type="dxa" w:w="1900"/>
            <w:tcMar>
              <w:top w:type="dxa" w:w="70"/>
              <w:left w:type="dxa" w:w="100"/>
              <w:bottom w:type="dxa" w:w="70"/>
              <w:right w:type="dxa" w:w="100"/>
            </w:tcMar>
            <w:vAlign w:val="center"/>
          </w:tcPr>
          <w:p>
            <w:r>
              <w:rPr>
                <w:sz w:val="20"/>
                <w:szCs w:val="20"/>
              </w:rPr>
              <w:t xml:space="preserve">982</w:t>
            </w:r>
          </w:p>
        </w:tc>
        <w:tc>
          <w:tcPr>
            <w:tcW w:type="dxa" w:w="2000"/>
            <w:tcMar>
              <w:top w:type="dxa" w:w="70"/>
              <w:left w:type="dxa" w:w="100"/>
              <w:bottom w:type="dxa" w:w="70"/>
              <w:right w:type="dxa" w:w="100"/>
            </w:tcMar>
            <w:vAlign w:val="center"/>
          </w:tcPr>
          <w:p>
            <w:r>
              <w:rPr>
                <w:sz w:val="20"/>
                <w:szCs w:val="20"/>
              </w:rPr>
              <w:t xml:space="preserve">479</w:t>
            </w:r>
          </w:p>
        </w:tc>
        <w:tc>
          <w:tcPr>
            <w:tcW w:type="dxa" w:w="2000"/>
            <w:tcMar>
              <w:top w:type="dxa" w:w="70"/>
              <w:left w:type="dxa" w:w="100"/>
              <w:bottom w:type="dxa" w:w="70"/>
              <w:right w:type="dxa" w:w="100"/>
            </w:tcMar>
            <w:vAlign w:val="center"/>
          </w:tcPr>
          <w:p>
            <w:r>
              <w:rPr>
                <w:sz w:val="20"/>
                <w:szCs w:val="20"/>
              </w:rPr>
              <w:t xml:space="preserve">48.8%</w:t>
            </w:r>
          </w:p>
        </w:tc>
      </w:tr>
    </w:tbl>
    <w:p>
      <w:pPr>
        <w:pStyle w:val="Heading2"/>
        <w:spacing w:after="120" w:before="240"/>
      </w:pPr>
      <w:r>
        <w:t xml:space="preserve">10.4 Annotation Logic</w:t>
      </w:r>
    </w:p>
    <w:p>
      <w:pPr>
        <w:spacing w:after="160"/>
        <w:jc w:val="both"/>
      </w:pPr>
      <w:r>
        <w:t xml:space="preserve">On the chart itself, each financial year's point count is annotated directly above the midpoint of that year's budget-line segment, so the number sits visually next to the exact period it describes rather than being listed separately in a legend or caption. An additional, single overall count ("Points above Target Budget PR : 479/982 = 48.8%") is shown lower on the chart as a whole-of-range summary. Both figures are recalculated from whatever subset of the data is currently loaded, so they update automatically when the bonus date filters are applied.</w:t>
      </w:r>
    </w:p>
    <w:p>
      <w:r>
        <w:br w:type="page"/>
      </w:r>
    </w:p>
    <w:p>
      <w:pPr>
        <w:pStyle w:val="Heading1"/>
        <w:spacing w:after="180" w:before="360"/>
      </w:pPr>
      <w:r>
        <w:t xml:space="preserve">11. Bonus Implementation</w:t>
      </w:r>
    </w:p>
    <w:p>
      <w:pPr>
        <w:spacing w:after="160"/>
        <w:jc w:val="both"/>
      </w:pPr>
      <w:r>
        <w:t xml:space="preserve">The core preprocessing logic, the visualization logic, and the financial-year/budget analysis described in the previous sections were all developed and validated first, inside two Jupyter notebooks (data_preprocessing_pvDoctor.ipynb and visualization.ipynb). That notebook-based workflow was the right environment for the exploratory part of the task — reading sample files, checking shapes and dtypes, and iterating on the chart one layer at a time, as described in Section 8.</w:t>
      </w:r>
    </w:p>
    <w:p>
      <w:pPr>
        <w:spacing w:after="160"/>
        <w:jc w:val="both"/>
      </w:pPr>
      <w:r>
        <w:t xml:space="preserve">To satisfy the bonus requirement — a command-line tool that regenerates the graph for any custom date range — the working notebook logic needed to be restructured into a proper, importable Python project rather than a sequence of notebook cells. This restructuring was done with AI assistance (Claude) used specifically as a development assistant for project modularisation and for wiring up the bonus command-line behaviour. The AI did not design the preprocessing approach, the chart's features, or the budget/financial-year logic — those were already working and validated in the notebooks beforehand. Its role was to help reorganise that existing logic into separate, single-purpose files and add the argparse-based interface around it.</w:t>
      </w:r>
    </w:p>
    <w:p>
      <w:pPr>
        <w:pStyle w:val="Heading2"/>
        <w:spacing w:after="120" w:before="240"/>
      </w:pPr>
      <w:r>
        <w:t xml:space="preserve">11.1 Project Structure</w:t>
      </w:r>
    </w:p>
    <w:p>
      <w:pPr>
        <w:spacing w:after="160"/>
        <w:jc w:val="both"/>
      </w:pPr>
      <w:r>
        <w:t xml:space="preserve">The notebook logic was split into three files, each with one clear responsibility:</w:t>
      </w:r>
    </w:p>
    <w:p>
      <w:pPr>
        <w:pStyle w:val="ListParagraph"/>
        <w:numPr>
          <w:ilvl w:val="0"/>
          <w:numId w:val="1"/>
        </w:numPr>
        <w:spacing w:after="100"/>
      </w:pPr>
      <w:r>
        <w:t xml:space="preserve">preprocess.py — a single function, preprocess_data(pr_folder, ghi_folder), containing only the file-reading and merging logic from Section 7.</w:t>
      </w:r>
    </w:p>
    <w:p>
      <w:pPr>
        <w:pStyle w:val="ListParagraph"/>
        <w:numPr>
          <w:ilvl w:val="0"/>
          <w:numId w:val="1"/>
        </w:numPr>
        <w:spacing w:after="100"/>
      </w:pPr>
      <w:r>
        <w:t xml:space="preserve">visualization.py — a single function, plot_performance_ratio(data, output_path), containing only the charting logic from Section 8, including the colour-coding, budget, and financial-year helper functions it depends on.</w:t>
      </w:r>
    </w:p>
    <w:p>
      <w:pPr>
        <w:pStyle w:val="ListParagraph"/>
        <w:numPr>
          <w:ilvl w:val="0"/>
          <w:numId w:val="1"/>
        </w:numPr>
        <w:spacing w:after="100"/>
      </w:pPr>
      <w:r>
        <w:t xml:space="preserve">main.py — the coordination layer: parses command-line arguments, calls preprocess_data(), optionally filters the result by date, and calls plot_performance_ratio() on whatever data remains.</w:t>
      </w:r>
    </w:p>
    <w:p>
      <w:pPr>
        <w:pStyle w:val="Heading2"/>
        <w:spacing w:after="120" w:before="240"/>
      </w:pPr>
      <w:r>
        <w:t xml:space="preserve">11.2 Command-Line Interface</w:t>
      </w:r>
    </w:p>
    <w:p>
      <w:pPr>
        <w:spacing w:after="160"/>
        <w:jc w:val="both"/>
      </w:pPr>
      <w:r>
        <w:t xml:space="preserve">argparse is used to expose two optional arguments, --start_date and --end_date, both taking dates in YYYY-MM-DD format: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python main.py</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python main.py --start_date 2020-01-01 --end_date 2020-12-31</w:t>
      </w:r>
    </w:p>
    <w:p>
      <w:pPr>
        <w:spacing w:after="160"/>
        <w:jc w:val="both"/>
      </w:pPr>
      <w:r>
        <w:t xml:space="preserve">When neither argument is supplied, the tool runs against the complete dataset, exactly as before. When one or both are supplied, the merged dataframe is filtered before it reaches the plotting function, so the 30-day moving average, the budget line, the financial-year point counts, and the statistics box are all recalculated from scratch against just that filtered window — nothing from the full-dataset run is reused or cached incorrectly.</w:t>
      </w:r>
    </w:p>
    <w:p>
      <w:pPr>
        <w:spacing w:after="160"/>
        <w:jc w:val="both"/>
      </w:pPr>
      <w:r>
        <w:t xml:space="preserve">A validation check was added so that if --start_date is later than --end_date, the program exits immediately with a clear error message rather than silently producing an empty or nonsensical chart.</w:t>
      </w:r>
    </w:p>
    <w:p>
      <w:r>
        <w:br w:type="page"/>
      </w:r>
    </w:p>
    <w:p>
      <w:pPr>
        <w:pStyle w:val="Heading1"/>
        <w:spacing w:after="180" w:before="360"/>
      </w:pPr>
      <w:r>
        <w:t xml:space="preserve">12. Challenges Faced</w:t>
      </w:r>
    </w:p>
    <w:p>
      <w:pPr>
        <w:pStyle w:val="ListParagraph"/>
        <w:numPr>
          <w:ilvl w:val="0"/>
          <w:numId w:val="1"/>
        </w:numPr>
        <w:spacing w:after="100"/>
      </w:pPr>
      <w:r>
        <w:t xml:space="preserve">Understanding the folder hierarchy: the PR and GHI data are split into 33 separate month-named folders each, so it took a first exploratory pass (via rglob and printing file counts) to confirm the depth and naming pattern before writing the actual read logic.</w:t>
      </w:r>
    </w:p>
    <w:p>
      <w:pPr>
        <w:pStyle w:val="ListParagraph"/>
        <w:numPr>
          <w:ilvl w:val="0"/>
          <w:numId w:val="1"/>
        </w:numPr>
        <w:spacing w:after="100"/>
      </w:pPr>
      <w:r>
        <w:t xml:space="preserve">Recursive file reading: making sure every file was picked up regardless of which month-folder it sat in, without accidentally hard-coding a fixed list of months, since the same code needed to keep working as the dataset grew.</w:t>
      </w:r>
    </w:p>
    <w:p>
      <w:pPr>
        <w:pStyle w:val="ListParagraph"/>
        <w:numPr>
          <w:ilvl w:val="0"/>
          <w:numId w:val="1"/>
        </w:numPr>
        <w:spacing w:after="100"/>
      </w:pPr>
      <w:r>
        <w:t xml:space="preserve">Merging datasets correctly: deciding on an inner merge specifically, and confirming beforehand (by checking for duplicate dates in both the PR and GHI dataframes) that this would not silently drop or duplicate any days.</w:t>
      </w:r>
    </w:p>
    <w:p>
      <w:pPr>
        <w:pStyle w:val="ListParagraph"/>
        <w:numPr>
          <w:ilvl w:val="0"/>
          <w:numId w:val="1"/>
        </w:numPr>
        <w:spacing w:after="100"/>
      </w:pPr>
      <w:r>
        <w:t xml:space="preserve">Matching dates: converting Date from text to an actual datetime type, since several downstream operations — sorting, the rolling 30-day window, and the financial-year calculation — would silently misbehave if Date stayed a string.</w:t>
      </w:r>
    </w:p>
    <w:p>
      <w:pPr>
        <w:pStyle w:val="ListParagraph"/>
        <w:numPr>
          <w:ilvl w:val="0"/>
          <w:numId w:val="1"/>
        </w:numPr>
        <w:spacing w:after="100"/>
      </w:pPr>
      <w:r>
        <w:t xml:space="preserve">Dynamic budget calculation: getting the compounding formula right so that it reduces by 0.8% of the previous year's already-discounted budget, rather than 0.8% of the fixed original 73.9 every year, since only the compounding version scales correctly to any number of future financial years.</w:t>
      </w:r>
    </w:p>
    <w:p>
      <w:pPr>
        <w:pStyle w:val="ListParagraph"/>
        <w:numPr>
          <w:ilvl w:val="0"/>
          <w:numId w:val="1"/>
        </w:numPr>
        <w:spacing w:after="100"/>
      </w:pPr>
      <w:r>
        <w:t xml:space="preserve">Financial year calculations: handling the July-to-June boundary correctly in budget_year(date), particularly getting the year-offset arithmetic right for dates before versus after July.</w:t>
      </w:r>
    </w:p>
    <w:p>
      <w:pPr>
        <w:pStyle w:val="ListParagraph"/>
        <w:numPr>
          <w:ilvl w:val="0"/>
          <w:numId w:val="1"/>
        </w:numPr>
        <w:spacing w:after="100"/>
      </w:pPr>
      <w:r>
        <w:t xml:space="preserve">Building a complex, multi-layer visualization: coordinating scatter points, two line series, annotations, a statistics box, and a custom legend on the same axes without any one element overlapping or obscuring another — solved by building the chart incrementally, as described in Section 8, and checking it visually after each addition.</w:t>
      </w:r>
    </w:p>
    <w:p>
      <w:pPr>
        <w:pStyle w:val="ListParagraph"/>
        <w:numPr>
          <w:ilvl w:val="0"/>
          <w:numId w:val="1"/>
        </w:numPr>
        <w:spacing w:after="100"/>
      </w:pPr>
      <w:r>
        <w:t xml:space="preserve">Project modularisation: separating logic that had grown organically across many notebook cells into three clean, single-purpose files without changing what that logic actually did, and making sure the plotting function still worked correctly when handed an already-filtered subset of the data for the bonus feature.</w:t>
      </w:r>
    </w:p>
    <w:p>
      <w:pPr>
        <w:pStyle w:val="Heading1"/>
        <w:spacing w:after="180" w:before="360"/>
      </w:pPr>
      <w:r>
        <w:t xml:space="preserve">13. Key Learnings</w:t>
      </w:r>
    </w:p>
    <w:p>
      <w:pPr>
        <w:pStyle w:val="ListParagraph"/>
        <w:numPr>
          <w:ilvl w:val="0"/>
          <w:numId w:val="1"/>
        </w:numPr>
        <w:spacing w:after="100"/>
      </w:pPr>
      <w:r>
        <w:t xml:space="preserve">Practical, hands-on experience with pandas for reading, concatenating, and merging many small files into one analysis-ready dataframe.</w:t>
      </w:r>
    </w:p>
    <w:p>
      <w:pPr>
        <w:pStyle w:val="ListParagraph"/>
        <w:numPr>
          <w:ilvl w:val="0"/>
          <w:numId w:val="1"/>
        </w:numPr>
        <w:spacing w:after="100"/>
      </w:pPr>
      <w:r>
        <w:t xml:space="preserve">Building layered, presentation-quality charts in Matplotlib, including custom legends, annotations, and text boxes placed in axes coordinates.</w:t>
      </w:r>
    </w:p>
    <w:p>
      <w:pPr>
        <w:pStyle w:val="ListParagraph"/>
        <w:numPr>
          <w:ilvl w:val="0"/>
          <w:numId w:val="1"/>
        </w:numPr>
        <w:spacing w:after="100"/>
      </w:pPr>
      <w:r>
        <w:t xml:space="preserve">Recursive file handling with pathlib, and why it is preferable to hard-coded file lists for datasets that grow over time.</w:t>
      </w:r>
    </w:p>
    <w:p>
      <w:pPr>
        <w:pStyle w:val="ListParagraph"/>
        <w:numPr>
          <w:ilvl w:val="0"/>
          <w:numId w:val="1"/>
        </w:numPr>
        <w:spacing w:after="100"/>
      </w:pPr>
      <w:r>
        <w:t xml:space="preserve">Data preprocessing fundamentals: datetime conversion, chronological sorting, and duplicate/missing-value checks as a routine first step before any analysis.</w:t>
      </w:r>
    </w:p>
    <w:p>
      <w:pPr>
        <w:pStyle w:val="ListParagraph"/>
        <w:numPr>
          <w:ilvl w:val="0"/>
          <w:numId w:val="1"/>
        </w:numPr>
        <w:spacing w:after="100"/>
      </w:pPr>
      <w:r>
        <w:t xml:space="preserve">Feature engineering for time series — deriving rolling averages, category labels, and calendar-aware groupings (financial year, in this case) directly from a datetime column.</w:t>
      </w:r>
    </w:p>
    <w:p>
      <w:pPr>
        <w:pStyle w:val="ListParagraph"/>
        <w:numPr>
          <w:ilvl w:val="0"/>
          <w:numId w:val="1"/>
        </w:numPr>
        <w:spacing w:after="100"/>
      </w:pPr>
      <w:r>
        <w:t xml:space="preserve">Time series analysis concepts, particularly the difference between a noisy daily signal and its smoothed trend, and why a moving average is the right tool to separate the two.</w:t>
      </w:r>
    </w:p>
    <w:p>
      <w:pPr>
        <w:pStyle w:val="ListParagraph"/>
        <w:numPr>
          <w:ilvl w:val="0"/>
          <w:numId w:val="1"/>
        </w:numPr>
        <w:spacing w:after="100"/>
      </w:pPr>
      <w:r>
        <w:t xml:space="preserve">Python project modularisation — splitting logic that works in a notebook into single-responsibility functions and files that can be imported, tested, and reused independently.</w:t>
      </w:r>
    </w:p>
    <w:p>
      <w:pPr>
        <w:pStyle w:val="ListParagraph"/>
        <w:numPr>
          <w:ilvl w:val="0"/>
          <w:numId w:val="1"/>
        </w:numPr>
        <w:spacing w:after="100"/>
      </w:pPr>
      <w:r>
        <w:t xml:space="preserve">Using argparse to build a proper command-line interface, including input validation, rather than hard-coding parameters inside a script.</w:t>
      </w:r>
    </w:p>
    <w:p>
      <w:pPr>
        <w:pStyle w:val="ListParagraph"/>
        <w:numPr>
          <w:ilvl w:val="0"/>
          <w:numId w:val="1"/>
        </w:numPr>
        <w:spacing w:after="100"/>
      </w:pPr>
      <w:r>
        <w:t xml:space="preserve">General project organisation and packaging: a requirements.txt, README, and .gitignore turn a working script into something another person can actually clone and run.</w:t>
      </w:r>
    </w:p>
    <w:p>
      <w:r>
        <w:br w:type="page"/>
      </w:r>
    </w:p>
    <w:p>
      <w:pPr>
        <w:pStyle w:val="Heading1"/>
        <w:spacing w:after="180" w:before="360"/>
      </w:pPr>
      <w:r>
        <w:t xml:space="preserve">14. 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69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70"/>
              <w:left w:type="dxa" w:w="100"/>
              <w:bottom w:type="dxa" w:w="70"/>
              <w:right w:type="dxa" w:w="100"/>
            </w:tcMar>
            <w:vAlign w:val="center"/>
          </w:tcPr>
          <w:p>
            <w:r>
              <w:rPr>
                <w:sz w:val="20"/>
                <w:szCs w:val="20"/>
              </w:rPr>
              <w:t xml:space="preserve">Python</w:t>
            </w:r>
          </w:p>
        </w:tc>
        <w:tc>
          <w:tcPr>
            <w:tcW w:type="dxa" w:w="6900"/>
            <w:tcMar>
              <w:top w:type="dxa" w:w="70"/>
              <w:left w:type="dxa" w:w="100"/>
              <w:bottom w:type="dxa" w:w="70"/>
              <w:right w:type="dxa" w:w="100"/>
            </w:tcMar>
            <w:vAlign w:val="center"/>
          </w:tcPr>
          <w:p>
            <w:r>
              <w:rPr>
                <w:sz w:val="20"/>
                <w:szCs w:val="20"/>
              </w:rPr>
              <w:t xml:space="preserve">Core programming language for the entire project.</w:t>
            </w:r>
          </w:p>
        </w:tc>
      </w:tr>
      <w:tr>
        <w:tc>
          <w:tcPr>
            <w:tcW w:type="dxa" w:w="2600"/>
            <w:tcMar>
              <w:top w:type="dxa" w:w="70"/>
              <w:left w:type="dxa" w:w="100"/>
              <w:bottom w:type="dxa" w:w="70"/>
              <w:right w:type="dxa" w:w="100"/>
            </w:tcMar>
            <w:vAlign w:val="center"/>
          </w:tcPr>
          <w:p>
            <w:r>
              <w:rPr>
                <w:sz w:val="20"/>
                <w:szCs w:val="20"/>
              </w:rPr>
              <w:t xml:space="preserve">Pandas</w:t>
            </w:r>
          </w:p>
        </w:tc>
        <w:tc>
          <w:tcPr>
            <w:tcW w:type="dxa" w:w="6900"/>
            <w:tcMar>
              <w:top w:type="dxa" w:w="70"/>
              <w:left w:type="dxa" w:w="100"/>
              <w:bottom w:type="dxa" w:w="70"/>
              <w:right w:type="dxa" w:w="100"/>
            </w:tcMar>
            <w:vAlign w:val="center"/>
          </w:tcPr>
          <w:p>
            <w:r>
              <w:rPr>
                <w:sz w:val="20"/>
                <w:szCs w:val="20"/>
              </w:rPr>
              <w:t xml:space="preserve">Reading CSV files, concatenation, merging, datetime handling, and rolling-window calculations.</w:t>
            </w:r>
          </w:p>
        </w:tc>
      </w:tr>
      <w:tr>
        <w:tc>
          <w:tcPr>
            <w:tcW w:type="dxa" w:w="2600"/>
            <w:tcMar>
              <w:top w:type="dxa" w:w="70"/>
              <w:left w:type="dxa" w:w="100"/>
              <w:bottom w:type="dxa" w:w="70"/>
              <w:right w:type="dxa" w:w="100"/>
            </w:tcMar>
            <w:vAlign w:val="center"/>
          </w:tcPr>
          <w:p>
            <w:r>
              <w:rPr>
                <w:sz w:val="20"/>
                <w:szCs w:val="20"/>
              </w:rPr>
              <w:t xml:space="preserve">NumPy</w:t>
            </w:r>
          </w:p>
        </w:tc>
        <w:tc>
          <w:tcPr>
            <w:tcW w:type="dxa" w:w="6900"/>
            <w:tcMar>
              <w:top w:type="dxa" w:w="70"/>
              <w:left w:type="dxa" w:w="100"/>
              <w:bottom w:type="dxa" w:w="70"/>
              <w:right w:type="dxa" w:w="100"/>
            </w:tcMar>
            <w:vAlign w:val="center"/>
          </w:tcPr>
          <w:p>
            <w:r>
              <w:rPr>
                <w:sz w:val="20"/>
                <w:szCs w:val="20"/>
              </w:rPr>
              <w:t xml:space="preserve">Underlying numerical operations used by pandas and Matplotlib.</w:t>
            </w:r>
          </w:p>
        </w:tc>
      </w:tr>
      <w:tr>
        <w:tc>
          <w:tcPr>
            <w:tcW w:type="dxa" w:w="2600"/>
            <w:tcMar>
              <w:top w:type="dxa" w:w="70"/>
              <w:left w:type="dxa" w:w="100"/>
              <w:bottom w:type="dxa" w:w="70"/>
              <w:right w:type="dxa" w:w="100"/>
            </w:tcMar>
            <w:vAlign w:val="center"/>
          </w:tcPr>
          <w:p>
            <w:r>
              <w:rPr>
                <w:sz w:val="20"/>
                <w:szCs w:val="20"/>
              </w:rPr>
              <w:t xml:space="preserve">Matplotlib</w:t>
            </w:r>
          </w:p>
        </w:tc>
        <w:tc>
          <w:tcPr>
            <w:tcW w:type="dxa" w:w="6900"/>
            <w:tcMar>
              <w:top w:type="dxa" w:w="70"/>
              <w:left w:type="dxa" w:w="100"/>
              <w:bottom w:type="dxa" w:w="70"/>
              <w:right w:type="dxa" w:w="100"/>
            </w:tcMar>
            <w:vAlign w:val="center"/>
          </w:tcPr>
          <w:p>
            <w:r>
              <w:rPr>
                <w:sz w:val="20"/>
                <w:szCs w:val="20"/>
              </w:rPr>
              <w:t xml:space="preserve">Building the Performance Ratio Evolution chart, including scatter plots, line series, annotations, and the custom legend.</w:t>
            </w:r>
          </w:p>
        </w:tc>
      </w:tr>
      <w:tr>
        <w:tc>
          <w:tcPr>
            <w:tcW w:type="dxa" w:w="2600"/>
            <w:tcMar>
              <w:top w:type="dxa" w:w="70"/>
              <w:left w:type="dxa" w:w="100"/>
              <w:bottom w:type="dxa" w:w="70"/>
              <w:right w:type="dxa" w:w="100"/>
            </w:tcMar>
            <w:vAlign w:val="center"/>
          </w:tcPr>
          <w:p>
            <w:r>
              <w:rPr>
                <w:sz w:val="20"/>
                <w:szCs w:val="20"/>
              </w:rPr>
              <w:t xml:space="preserve">Pathlib</w:t>
            </w:r>
          </w:p>
        </w:tc>
        <w:tc>
          <w:tcPr>
            <w:tcW w:type="dxa" w:w="6900"/>
            <w:tcMar>
              <w:top w:type="dxa" w:w="70"/>
              <w:left w:type="dxa" w:w="100"/>
              <w:bottom w:type="dxa" w:w="70"/>
              <w:right w:type="dxa" w:w="100"/>
            </w:tcMar>
            <w:vAlign w:val="center"/>
          </w:tcPr>
          <w:p>
            <w:r>
              <w:rPr>
                <w:sz w:val="20"/>
                <w:szCs w:val="20"/>
              </w:rPr>
              <w:t xml:space="preserve">Recursive discovery of CSV files (rglob) across the month-wise folder structure.</w:t>
            </w:r>
          </w:p>
        </w:tc>
      </w:tr>
      <w:tr>
        <w:tc>
          <w:tcPr>
            <w:tcW w:type="dxa" w:w="2600"/>
            <w:tcMar>
              <w:top w:type="dxa" w:w="70"/>
              <w:left w:type="dxa" w:w="100"/>
              <w:bottom w:type="dxa" w:w="70"/>
              <w:right w:type="dxa" w:w="100"/>
            </w:tcMar>
            <w:vAlign w:val="center"/>
          </w:tcPr>
          <w:p>
            <w:r>
              <w:rPr>
                <w:sz w:val="20"/>
                <w:szCs w:val="20"/>
              </w:rPr>
              <w:t xml:space="preserve">Argparse</w:t>
            </w:r>
          </w:p>
        </w:tc>
        <w:tc>
          <w:tcPr>
            <w:tcW w:type="dxa" w:w="6900"/>
            <w:tcMar>
              <w:top w:type="dxa" w:w="70"/>
              <w:left w:type="dxa" w:w="100"/>
              <w:bottom w:type="dxa" w:w="70"/>
              <w:right w:type="dxa" w:w="100"/>
            </w:tcMar>
            <w:vAlign w:val="center"/>
          </w:tcPr>
          <w:p>
            <w:r>
              <w:rPr>
                <w:sz w:val="20"/>
                <w:szCs w:val="20"/>
              </w:rPr>
              <w:t xml:space="preserve">Implementing the bonus --start_date / --end_date command-line interface with validation.</w:t>
            </w:r>
          </w:p>
        </w:tc>
      </w:tr>
      <w:tr>
        <w:tc>
          <w:tcPr>
            <w:tcW w:type="dxa" w:w="2600"/>
            <w:tcMar>
              <w:top w:type="dxa" w:w="70"/>
              <w:left w:type="dxa" w:w="100"/>
              <w:bottom w:type="dxa" w:w="70"/>
              <w:right w:type="dxa" w:w="100"/>
            </w:tcMar>
            <w:vAlign w:val="center"/>
          </w:tcPr>
          <w:p>
            <w:r>
              <w:rPr>
                <w:sz w:val="20"/>
                <w:szCs w:val="20"/>
              </w:rPr>
              <w:t xml:space="preserve">Jupyter Notebook</w:t>
            </w:r>
          </w:p>
        </w:tc>
        <w:tc>
          <w:tcPr>
            <w:tcW w:type="dxa" w:w="6900"/>
            <w:tcMar>
              <w:top w:type="dxa" w:w="70"/>
              <w:left w:type="dxa" w:w="100"/>
              <w:bottom w:type="dxa" w:w="70"/>
              <w:right w:type="dxa" w:w="100"/>
            </w:tcMar>
            <w:vAlign w:val="center"/>
          </w:tcPr>
          <w:p>
            <w:r>
              <w:rPr>
                <w:sz w:val="20"/>
                <w:szCs w:val="20"/>
              </w:rPr>
              <w:t xml:space="preserve">Initial exploratory development and incremental construction of the preprocessing and visualization logic.</w:t>
            </w:r>
          </w:p>
        </w:tc>
      </w:tr>
      <w:tr>
        <w:tc>
          <w:tcPr>
            <w:tcW w:type="dxa" w:w="2600"/>
            <w:tcMar>
              <w:top w:type="dxa" w:w="70"/>
              <w:left w:type="dxa" w:w="100"/>
              <w:bottom w:type="dxa" w:w="70"/>
              <w:right w:type="dxa" w:w="100"/>
            </w:tcMar>
            <w:vAlign w:val="center"/>
          </w:tcPr>
          <w:p>
            <w:r>
              <w:rPr>
                <w:sz w:val="20"/>
                <w:szCs w:val="20"/>
              </w:rPr>
              <w:t xml:space="preserve">VS Code</w:t>
            </w:r>
          </w:p>
        </w:tc>
        <w:tc>
          <w:tcPr>
            <w:tcW w:type="dxa" w:w="6900"/>
            <w:tcMar>
              <w:top w:type="dxa" w:w="70"/>
              <w:left w:type="dxa" w:w="100"/>
              <w:bottom w:type="dxa" w:w="70"/>
              <w:right w:type="dxa" w:w="100"/>
            </w:tcMar>
            <w:vAlign w:val="center"/>
          </w:tcPr>
          <w:p>
            <w:r>
              <w:rPr>
                <w:sz w:val="20"/>
                <w:szCs w:val="20"/>
              </w:rPr>
              <w:t xml:space="preserve">Editing and organising the final modular Python project.</w:t>
            </w:r>
          </w:p>
        </w:tc>
      </w:tr>
      <w:tr>
        <w:tc>
          <w:tcPr>
            <w:tcW w:type="dxa" w:w="2600"/>
            <w:tcMar>
              <w:top w:type="dxa" w:w="70"/>
              <w:left w:type="dxa" w:w="100"/>
              <w:bottom w:type="dxa" w:w="70"/>
              <w:right w:type="dxa" w:w="100"/>
            </w:tcMar>
            <w:vAlign w:val="center"/>
          </w:tcPr>
          <w:p>
            <w:r>
              <w:rPr>
                <w:sz w:val="20"/>
                <w:szCs w:val="20"/>
              </w:rPr>
              <w:t xml:space="preserve">Git</w:t>
            </w:r>
          </w:p>
        </w:tc>
        <w:tc>
          <w:tcPr>
            <w:tcW w:type="dxa" w:w="6900"/>
            <w:tcMar>
              <w:top w:type="dxa" w:w="70"/>
              <w:left w:type="dxa" w:w="100"/>
              <w:bottom w:type="dxa" w:w="70"/>
              <w:right w:type="dxa" w:w="100"/>
            </w:tcMar>
            <w:vAlign w:val="center"/>
          </w:tcPr>
          <w:p>
            <w:r>
              <w:rPr>
                <w:sz w:val="20"/>
                <w:szCs w:val="20"/>
              </w:rPr>
              <w:t xml:space="preserve">Version control of the project source code.</w:t>
            </w:r>
          </w:p>
        </w:tc>
      </w:tr>
    </w:tbl>
    <w:p>
      <w:pPr>
        <w:pStyle w:val="Heading1"/>
        <w:spacing w:after="180" w:before="360"/>
      </w:pPr>
      <w:r>
        <w:t xml:space="preserve">15. Folder Structure</w:t>
      </w:r>
    </w:p>
    <w:p>
      <w:pPr>
        <w:spacing w:after="160"/>
        <w:jc w:val="both"/>
      </w:pPr>
      <w:r>
        <w:t xml:space="preserve">The final, submitted project follows this structure:</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take_home_assessment/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data/</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PR/                     # Raw daily PR CSVs (month-wise folders)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GHI/                    # Raw daily GHI CSVs (month-wise folders)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output/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merged_data.csv          # Generated merged PR + GHI dataset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 performance_ratio.png    # Generated Performance Ratio graph</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preprocess.py                 # preprocess_data(pr_folder, ghi_folder)</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visualization.py               # plot_performance_ratio(data, output_path)</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main.py                        # CLI entry point (argparse, orchestration)</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requirements.txt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README.md</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 .gitignore</w:t>
      </w:r>
    </w:p>
    <w:p>
      <w:r>
        <w:br w:type="page"/>
      </w:r>
    </w:p>
    <w:p>
      <w:pPr>
        <w:pStyle w:val="Heading1"/>
        <w:spacing w:after="180" w:before="360"/>
      </w:pPr>
      <w:r>
        <w:t xml:space="preserve">16. How to Run the Project</w:t>
      </w:r>
    </w:p>
    <w:p>
      <w:pPr>
        <w:pStyle w:val="Heading2"/>
        <w:spacing w:after="120" w:before="240"/>
      </w:pPr>
      <w:r>
        <w:t xml:space="preserve">16.1 Install Dependencies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python -m venv venv</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source venv/bin/activate      # Windows: venv\Scripts\activate</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pip install -r requirements.txt</w:t>
      </w:r>
    </w:p>
    <w:p>
      <w:pPr>
        <w:pStyle w:val="Heading2"/>
        <w:spacing w:after="120" w:before="240"/>
      </w:pPr>
      <w:r>
        <w:t xml:space="preserve">16.2 Run on the Full Dataset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python main.py</w:t>
      </w:r>
    </w:p>
    <w:p>
      <w:pPr>
        <w:spacing w:after="160"/>
        <w:jc w:val="both"/>
      </w:pPr>
      <w:r>
        <w:t xml:space="preserve">This reads every PR and GHI file under data/, saves the merged dataset to output/merged_data.csv, and saves the full-range Performance Ratio Evolution chart to output/performance_ratio.png.</w:t>
      </w:r>
    </w:p>
    <w:p>
      <w:pPr>
        <w:pStyle w:val="Heading2"/>
        <w:spacing w:after="120" w:before="240"/>
      </w:pPr>
      <w:r>
        <w:t xml:space="preserve">16.3 Run With a Custom Date Range (Bonus)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python main.py --start_date 2020-01-01 --end_date 2020-12-31</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python main.py --start_date 2021-07-01 --end_date 2022-03-24</w:t>
      </w:r>
    </w:p>
    <w:p>
      <w:pPr>
        <w:spacing w:after="160"/>
        <w:jc w:val="both"/>
      </w:pPr>
      <w:r>
        <w:t xml:space="preserve">In both cases, the merged dataset is still written in full to output/merged_data.csv, but the graph in output/performance_ratio.png reflects only the requested window, with the moving average, budget line, financial-year counts, and statistics box all recalculated for that window specifically.</w:t>
      </w:r>
    </w:p>
    <w:p>
      <w:pPr>
        <w:pStyle w:val="Heading2"/>
        <w:spacing w:after="120" w:before="240"/>
      </w:pPr>
      <w:r>
        <w:t xml:space="preserve">16.4 Expected Console Output</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Merged data saved -&gt; output/merged_data.csv (982 rows)</w:t>
      </w:r>
    </w:p>
    <w:p>
      <w:pPr>
        <w:pBdr>
          <w:top w:val="single" w:color="D9D9D9" w:sz="2"/>
          <w:bottom w:val="single" w:color="D9D9D9" w:sz="2"/>
          <w:left w:val="single" w:color="D9D9D9" w:sz="2"/>
          <w:right w:val="single" w:color="D9D9D9" w:sz="2"/>
        </w:pBdr>
        <w:shd w:fill="F2F2F2" w:val="clear"/>
        <w:spacing w:after="60" w:before="60"/>
      </w:pPr>
      <w:r>
        <w:rPr>
          <w:rFonts w:ascii="Consolas" w:cs="Consolas" w:eastAsia="Consolas" w:hAnsi="Consolas"/>
          <w:sz w:val="20"/>
          <w:szCs w:val="20"/>
        </w:rPr>
        <w:t xml:space="preserve">Graph saved -&gt; output/performance_ratio.png (982 rows plotted)</w:t>
      </w:r>
    </w:p>
    <w:p>
      <w:pPr>
        <w:spacing w:after="160"/>
        <w:jc w:val="both"/>
      </w:pPr>
      <w:r>
        <w:t xml:space="preserve">If an invalid range is supplied (start date later than end date), the program instead prints a clear error and exits without generating a graph.</w:t>
      </w:r>
    </w:p>
    <w:p>
      <w:r>
        <w:br w:type="page"/>
      </w:r>
    </w:p>
    <w:p>
      <w:pPr>
        <w:pStyle w:val="Heading1"/>
        <w:spacing w:after="180" w:before="360"/>
      </w:pPr>
      <w:r>
        <w:t xml:space="preserve">17. Results</w:t>
      </w:r>
    </w:p>
    <w:p>
      <w:pPr>
        <w:pStyle w:val="Heading2"/>
        <w:spacing w:after="120" w:before="240"/>
      </w:pPr>
      <w:r>
        <w:t xml:space="preserve">17.1 Merged Dataset</w:t>
      </w:r>
    </w:p>
    <w:p>
      <w:pPr>
        <w:spacing w:after="160"/>
        <w:jc w:val="both"/>
      </w:pPr>
      <w:r>
        <w:t xml:space="preserve">The preprocessing pipeline produced a merged dataset of 982 rows spanning 1 July 2019 to 24 March 2022, with columns Date, PR, and GHI. No rows were lost in the merge, and no missing values or duplicate dates were present in the final dataset.</w:t>
      </w:r>
    </w:p>
    <w:p>
      <w:pPr>
        <w:pStyle w:val="Heading2"/>
        <w:spacing w:after="120" w:before="240"/>
      </w:pPr>
      <w:r>
        <w:t xml:space="preserve">17.2 Performance Ratio Graph</w:t>
      </w:r>
    </w:p>
    <w:p>
      <w:pPr>
        <w:spacing w:after="160"/>
        <w:jc w:val="both"/>
      </w:pPr>
      <w:r>
        <w:t xml:space="preserve">The figure below is the full-range Performance Ratio Evolution chart generated by the project (output/performance_ratio.png):</w:t>
      </w:r>
    </w:p>
    <w:p>
      <w:pPr>
        <w:spacing w:after="120" w:before="12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09850"/>
                    </a:xfrm>
                    <a:prstGeom prst="rect">
                      <a:avLst/>
                    </a:prstGeom>
                  </pic:spPr>
                </pic:pic>
              </a:graphicData>
            </a:graphic>
          </wp:inline>
        </w:drawing>
      </w:r>
    </w:p>
    <w:p>
      <w:pPr>
        <w:pStyle w:val="Heading2"/>
        <w:spacing w:after="120" w:before="240"/>
      </w:pPr>
      <w:r>
        <w:t xml:space="preserve">17.3 Statistics</w:t>
      </w:r>
    </w:p>
    <w:p>
      <w:pPr>
        <w:spacing w:after="160"/>
        <w:jc w:val="both"/>
      </w:pPr>
      <w:r>
        <w:t xml:space="preserve">Averaged over the trailing windows and the full lifetime of the plotted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shd w:fill="1F3864" w:val="clear"/>
            <w:tcMar>
              <w:top w:type="dxa" w:w="80"/>
              <w:left w:type="dxa" w:w="100"/>
              <w:bottom w:type="dxa" w:w="80"/>
              <w:right w:type="dxa" w:w="100"/>
            </w:tcMar>
            <w:vAlign w:val="center"/>
          </w:tcPr>
          <w:p>
            <w:r>
              <w:rPr>
                <w:b/>
                <w:bCs/>
                <w:color w:val="FFFFFF"/>
                <w:sz w:val="20"/>
                <w:szCs w:val="20"/>
              </w:rPr>
              <w:t xml:space="preserve">Window</w:t>
            </w:r>
          </w:p>
        </w:tc>
        <w:tc>
          <w:tcPr>
            <w:tcW w:type="dxa" w:w="4800"/>
            <w:shd w:fill="1F3864" w:val="clear"/>
            <w:tcMar>
              <w:top w:type="dxa" w:w="80"/>
              <w:left w:type="dxa" w:w="100"/>
              <w:bottom w:type="dxa" w:w="80"/>
              <w:right w:type="dxa" w:w="100"/>
            </w:tcMar>
            <w:vAlign w:val="center"/>
          </w:tcPr>
          <w:p>
            <w:r>
              <w:rPr>
                <w:b/>
                <w:bCs/>
                <w:color w:val="FFFFFF"/>
                <w:sz w:val="20"/>
                <w:szCs w:val="20"/>
              </w:rPr>
              <w:t xml:space="preserve">Average PR</w:t>
            </w:r>
          </w:p>
        </w:tc>
      </w:tr>
      <w:tr>
        <w:tc>
          <w:tcPr>
            <w:tcW w:type="dxa" w:w="4700"/>
            <w:tcMar>
              <w:top w:type="dxa" w:w="70"/>
              <w:left w:type="dxa" w:w="100"/>
              <w:bottom w:type="dxa" w:w="70"/>
              <w:right w:type="dxa" w:w="100"/>
            </w:tcMar>
            <w:vAlign w:val="center"/>
          </w:tcPr>
          <w:p>
            <w:r>
              <w:rPr>
                <w:sz w:val="20"/>
                <w:szCs w:val="20"/>
              </w:rPr>
              <w:t xml:space="preserve">Last 7 Days</w:t>
            </w:r>
          </w:p>
        </w:tc>
        <w:tc>
          <w:tcPr>
            <w:tcW w:type="dxa" w:w="4800"/>
            <w:tcMar>
              <w:top w:type="dxa" w:w="70"/>
              <w:left w:type="dxa" w:w="100"/>
              <w:bottom w:type="dxa" w:w="70"/>
              <w:right w:type="dxa" w:w="100"/>
            </w:tcMar>
            <w:vAlign w:val="center"/>
          </w:tcPr>
          <w:p>
            <w:r>
              <w:rPr>
                <w:sz w:val="20"/>
                <w:szCs w:val="20"/>
              </w:rPr>
              <w:t xml:space="preserve">73.8%</w:t>
            </w:r>
          </w:p>
        </w:tc>
      </w:tr>
      <w:tr>
        <w:tc>
          <w:tcPr>
            <w:tcW w:type="dxa" w:w="4700"/>
            <w:tcMar>
              <w:top w:type="dxa" w:w="70"/>
              <w:left w:type="dxa" w:w="100"/>
              <w:bottom w:type="dxa" w:w="70"/>
              <w:right w:type="dxa" w:w="100"/>
            </w:tcMar>
            <w:vAlign w:val="center"/>
          </w:tcPr>
          <w:p>
            <w:r>
              <w:rPr>
                <w:sz w:val="20"/>
                <w:szCs w:val="20"/>
              </w:rPr>
              <w:t xml:space="preserve">Last 30 Days</w:t>
            </w:r>
          </w:p>
        </w:tc>
        <w:tc>
          <w:tcPr>
            <w:tcW w:type="dxa" w:w="4800"/>
            <w:tcMar>
              <w:top w:type="dxa" w:w="70"/>
              <w:left w:type="dxa" w:w="100"/>
              <w:bottom w:type="dxa" w:w="70"/>
              <w:right w:type="dxa" w:w="100"/>
            </w:tcMar>
            <w:vAlign w:val="center"/>
          </w:tcPr>
          <w:p>
            <w:r>
              <w:rPr>
                <w:sz w:val="20"/>
                <w:szCs w:val="20"/>
              </w:rPr>
              <w:t xml:space="preserve">71.9%</w:t>
            </w:r>
          </w:p>
        </w:tc>
      </w:tr>
      <w:tr>
        <w:tc>
          <w:tcPr>
            <w:tcW w:type="dxa" w:w="4700"/>
            <w:tcMar>
              <w:top w:type="dxa" w:w="70"/>
              <w:left w:type="dxa" w:w="100"/>
              <w:bottom w:type="dxa" w:w="70"/>
              <w:right w:type="dxa" w:w="100"/>
            </w:tcMar>
            <w:vAlign w:val="center"/>
          </w:tcPr>
          <w:p>
            <w:r>
              <w:rPr>
                <w:sz w:val="20"/>
                <w:szCs w:val="20"/>
              </w:rPr>
              <w:t xml:space="preserve">Last 60 Days</w:t>
            </w:r>
          </w:p>
        </w:tc>
        <w:tc>
          <w:tcPr>
            <w:tcW w:type="dxa" w:w="4800"/>
            <w:tcMar>
              <w:top w:type="dxa" w:w="70"/>
              <w:left w:type="dxa" w:w="100"/>
              <w:bottom w:type="dxa" w:w="70"/>
              <w:right w:type="dxa" w:w="100"/>
            </w:tcMar>
            <w:vAlign w:val="center"/>
          </w:tcPr>
          <w:p>
            <w:r>
              <w:rPr>
                <w:sz w:val="20"/>
                <w:szCs w:val="20"/>
              </w:rPr>
              <w:t xml:space="preserve">73.0%</w:t>
            </w:r>
          </w:p>
        </w:tc>
      </w:tr>
      <w:tr>
        <w:tc>
          <w:tcPr>
            <w:tcW w:type="dxa" w:w="4700"/>
            <w:tcMar>
              <w:top w:type="dxa" w:w="70"/>
              <w:left w:type="dxa" w:w="100"/>
              <w:bottom w:type="dxa" w:w="70"/>
              <w:right w:type="dxa" w:w="100"/>
            </w:tcMar>
            <w:vAlign w:val="center"/>
          </w:tcPr>
          <w:p>
            <w:r>
              <w:rPr>
                <w:sz w:val="20"/>
                <w:szCs w:val="20"/>
              </w:rPr>
              <w:t xml:space="preserve">Last 90 Days</w:t>
            </w:r>
          </w:p>
        </w:tc>
        <w:tc>
          <w:tcPr>
            <w:tcW w:type="dxa" w:w="4800"/>
            <w:tcMar>
              <w:top w:type="dxa" w:w="70"/>
              <w:left w:type="dxa" w:w="100"/>
              <w:bottom w:type="dxa" w:w="70"/>
              <w:right w:type="dxa" w:w="100"/>
            </w:tcMar>
            <w:vAlign w:val="center"/>
          </w:tcPr>
          <w:p>
            <w:r>
              <w:rPr>
                <w:sz w:val="20"/>
                <w:szCs w:val="20"/>
              </w:rPr>
              <w:t xml:space="preserve">73.1%</w:t>
            </w:r>
          </w:p>
        </w:tc>
      </w:tr>
      <w:tr>
        <w:tc>
          <w:tcPr>
            <w:tcW w:type="dxa" w:w="4700"/>
            <w:tcMar>
              <w:top w:type="dxa" w:w="70"/>
              <w:left w:type="dxa" w:w="100"/>
              <w:bottom w:type="dxa" w:w="70"/>
              <w:right w:type="dxa" w:w="100"/>
            </w:tcMar>
            <w:vAlign w:val="center"/>
          </w:tcPr>
          <w:p>
            <w:r>
              <w:rPr>
                <w:sz w:val="20"/>
                <w:szCs w:val="20"/>
              </w:rPr>
              <w:t xml:space="preserve">Last 365 Days</w:t>
            </w:r>
          </w:p>
        </w:tc>
        <w:tc>
          <w:tcPr>
            <w:tcW w:type="dxa" w:w="4800"/>
            <w:tcMar>
              <w:top w:type="dxa" w:w="70"/>
              <w:left w:type="dxa" w:w="100"/>
              <w:bottom w:type="dxa" w:w="70"/>
              <w:right w:type="dxa" w:w="100"/>
            </w:tcMar>
            <w:vAlign w:val="center"/>
          </w:tcPr>
          <w:p>
            <w:r>
              <w:rPr>
                <w:sz w:val="20"/>
                <w:szCs w:val="20"/>
              </w:rPr>
              <w:t xml:space="preserve">72.8%</w:t>
            </w:r>
          </w:p>
        </w:tc>
      </w:tr>
      <w:tr>
        <w:tc>
          <w:tcPr>
            <w:tcW w:type="dxa" w:w="4700"/>
            <w:tcMar>
              <w:top w:type="dxa" w:w="70"/>
              <w:left w:type="dxa" w:w="100"/>
              <w:bottom w:type="dxa" w:w="70"/>
              <w:right w:type="dxa" w:w="100"/>
            </w:tcMar>
            <w:vAlign w:val="center"/>
          </w:tcPr>
          <w:p>
            <w:r>
              <w:rPr>
                <w:sz w:val="20"/>
                <w:szCs w:val="20"/>
              </w:rPr>
              <w:t xml:space="preserve">Lifetime (full range)</w:t>
            </w:r>
          </w:p>
        </w:tc>
        <w:tc>
          <w:tcPr>
            <w:tcW w:type="dxa" w:w="4800"/>
            <w:tcMar>
              <w:top w:type="dxa" w:w="70"/>
              <w:left w:type="dxa" w:w="100"/>
              <w:bottom w:type="dxa" w:w="70"/>
              <w:right w:type="dxa" w:w="100"/>
            </w:tcMar>
            <w:vAlign w:val="center"/>
          </w:tcPr>
          <w:p>
            <w:r>
              <w:rPr>
                <w:sz w:val="20"/>
                <w:szCs w:val="20"/>
              </w:rPr>
              <w:t xml:space="preserve">72.7%</w:t>
            </w:r>
          </w:p>
        </w:tc>
      </w:tr>
    </w:tbl>
    <w:p>
      <w:pPr>
        <w:pStyle w:val="Heading2"/>
        <w:spacing w:after="120" w:before="240"/>
      </w:pPr>
      <w:r>
        <w:t xml:space="preserve">17.4 Budget Analysis</w:t>
      </w:r>
    </w:p>
    <w:p>
      <w:pPr>
        <w:spacing w:after="160"/>
        <w:jc w:val="both"/>
      </w:pPr>
      <w:r>
        <w:t xml:space="preserve">The Target Budget PR, calculated dynamically from the 73.9 base value and the 0.8% compounding degradation rate, works out to 73.90% in the first financial year, 73.31% in the second, and 72.72% in the third — matching the pattern described in the assessment while never hard-coding any of these three numbers directly.</w:t>
      </w:r>
    </w:p>
    <w:p>
      <w:pPr>
        <w:pStyle w:val="Heading2"/>
        <w:spacing w:after="120" w:before="240"/>
      </w:pPr>
      <w:r>
        <w:t xml:space="preserve">17.5 Financial Year Analysis</w:t>
      </w:r>
    </w:p>
    <w:p>
      <w:pPr>
        <w:spacing w:after="160"/>
        <w:jc w:val="both"/>
      </w:pPr>
      <w:r>
        <w:t xml:space="preserve">Across the whole dataset, 479 of 982 days (48.8%) recorded a PR above that year's budget. Broken down by financial year, this was 179 of 366 days in Year 1, 170 of 349 days in Year 2, and 130 of 267 days in the partial Year 3 — a reasonably consistent proportion of roughly 49% of days beating budget in each year, despite the budget itself becoming progressively harder to beat each year as it degrades.</w:t>
      </w:r>
    </w:p>
    <w:p>
      <w:r>
        <w:br w:type="page"/>
      </w:r>
    </w:p>
    <w:p>
      <w:pPr>
        <w:pStyle w:val="Heading1"/>
        <w:spacing w:after="180" w:before="360"/>
      </w:pPr>
      <w:r>
        <w:t xml:space="preserve">18. Conclusion</w:t>
      </w:r>
    </w:p>
    <w:p>
      <w:pPr>
        <w:spacing w:after="160"/>
        <w:jc w:val="both"/>
      </w:pPr>
      <w:r>
        <w:t xml:space="preserve">This project delivers exactly what the assessment asked for: a clean, single merged dataset built from scattered monthly CSV files, and a single Performance Ratio Evolution chart that layers together GHI-coded scatter points, a smoothed 30-day trend line, a dynamically-degrading budget target, financial-year performance counts, and a running statistics summary — all in one readable figure.</w:t>
      </w:r>
    </w:p>
    <w:p>
      <w:pPr>
        <w:spacing w:after="160"/>
        <w:jc w:val="both"/>
      </w:pPr>
      <w:r>
        <w:t xml:space="preserve">Every stated objective was achieved: the data was read recursively and merged without any hard-coded file or date assumptions; the chart reproduces all of the required overlays; and the budget line is computed through a genuine formula rather than a lookup table, so it would keep working correctly even if more financial years of data were added tomorrow.</w:t>
      </w:r>
    </w:p>
    <w:p>
      <w:pPr>
        <w:spacing w:after="160"/>
        <w:jc w:val="both"/>
      </w:pPr>
      <w:r>
        <w:t xml:space="preserve">The bonus requirement adds real practical value beyond satisfying the assessment brief: because --start_date and --end_date filter the data before any of the derived figures are calculated, the same tool can be used to inspect a single problematic month, compare one financial year against another, or review the plant's most recent quarter — all without touching a single line of code. That flexibility is what turns this from a one-off analysis script into a small, reusable tool for ongoing PV plant performance monitoring.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066c99f4c9947c92a44f5d399f6f5fe59c216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2026-07-26T12:36:26.753Z</dcterms:created>
  <dcterms:modified xsi:type="dcterms:W3CDTF">2026-07-26T12:36:26.765Z</dcterms:modified>
</cp:coreProperties>
</file>

<file path=docProps/custom.xml><?xml version="1.0" encoding="utf-8"?>
<Properties xmlns="http://schemas.openxmlformats.org/officeDocument/2006/custom-properties" xmlns:vt="http://schemas.openxmlformats.org/officeDocument/2006/docPropsVTypes"/>
</file>