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34440" cy="3296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ight_sphere_n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329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NexoraAI User Manual</w:t>
      </w:r>
    </w:p>
    <w:p>
      <w:pPr>
        <w:jc w:val="center"/>
      </w:pPr>
      <w:r>
        <w:rPr>
          <w:b/>
          <w:color w:val="1F4E78"/>
          <w:sz w:val="32"/>
        </w:rPr>
        <w:t>Product Manual</w:t>
      </w:r>
    </w:p>
    <w:p/>
    <w:p>
      <w:pPr>
        <w:jc w:val="center"/>
      </w:pPr>
      <w:r>
        <w:rPr>
          <w:b/>
        </w:rPr>
        <w:t xml:space="preserve">Audience: </w:t>
      </w:r>
      <w:r>
        <w:t>End users, business users, analysts, and team members</w:t>
      </w:r>
    </w:p>
    <w:p>
      <w:pPr>
        <w:jc w:val="center"/>
      </w:pPr>
      <w:r>
        <w:rPr>
          <w:b/>
        </w:rPr>
        <w:t xml:space="preserve">Language: </w:t>
      </w:r>
      <w:r>
        <w:t>English</w:t>
      </w:r>
    </w:p>
    <w:p>
      <w:pPr>
        <w:jc w:val="center"/>
      </w:pPr>
      <w:r>
        <w:rPr>
          <w:b/>
        </w:rPr>
        <w:t xml:space="preserve">Last verified: </w:t>
      </w:r>
      <w:r>
        <w:t>8 September 2026</w:t>
      </w:r>
    </w:p>
    <w:p>
      <w:pPr>
        <w:jc w:val="center"/>
      </w:pPr>
      <w:r>
        <w:rPr>
          <w:b/>
        </w:rPr>
        <w:t xml:space="preserve">Document status: </w:t>
      </w:r>
      <w:r>
        <w:t>Controlled working manual — update in place</w:t>
      </w:r>
    </w:p>
    <w:p>
      <w:pPr>
        <w:spacing w:before="480"/>
        <w:jc w:val="center"/>
      </w:pPr>
      <w:r>
        <w:rPr>
          <w:i/>
          <w:color w:val="666666"/>
        </w:rPr>
        <w:t>Screenshot placeholders are intentionally blank. Insert images from the approved delivery environment and remove or blur sensitive values.</w:t>
      </w:r>
    </w:p>
    <w:p>
      <w:r>
        <w:br w:type="page"/>
      </w:r>
    </w:p>
    <w:p>
      <w:pPr>
        <w:pStyle w:val="Heading1"/>
        <w:spacing w:after="240"/>
      </w:pPr>
      <w: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end"/>
      </w:r>
    </w:p>
    <w:p>
      <w:r>
        <w:rPr>
          <w:i/>
          <w:color w:val="666666"/>
        </w:rPr>
        <w:t>In Microsoft Word: right-click the table and select Update Field → Update entire table.</w:t>
      </w:r>
    </w:p>
    <w:p>
      <w:r>
        <w:br w:type="page"/>
      </w:r>
    </w:p>
    <w:p>
      <w:r>
        <w:t>This is the stable User Manual for NexoraAI. Update this file in place when a user-facing feature, field, workflow, permission, or menu changes. Do not create a dated replacement manual unless a separately maintained release manual is explicitly requested.</w:t>
      </w:r>
    </w:p>
    <w:p>
      <w:r>
        <w:t xml:space="preserve">The formatted Word deliverable is </w:t>
      </w:r>
      <w:r>
        <w:rPr>
          <w:rFonts w:ascii="Consolas" w:hAnsi="Consolas"/>
          <w:color w:val="505050"/>
          <w:sz w:val="18"/>
        </w:rPr>
        <w:t>NexoraAI-User-Manual.docx</w:t>
      </w:r>
      <w:r>
        <w:t xml:space="preserve">. Regenerate both Word manuals after updating their Markdown sources with: </w:t>
      </w:r>
      <w:r>
        <w:rPr>
          <w:rFonts w:ascii="Consolas" w:hAnsi="Consolas"/>
          <w:color w:val="505050"/>
          <w:sz w:val="18"/>
        </w:rPr>
        <w:t xml:space="preserve"> .venv/bin/python scripts/build_manual_docx.py </w:t>
      </w:r>
      <w:r>
        <w:t>.</w:t>
      </w:r>
    </w:p>
    <w:p>
      <w:r>
        <w:br w:type="page"/>
      </w:r>
    </w:p>
    <w:p>
      <w:pPr>
        <w:pStyle w:val="Heading1"/>
      </w:pPr>
      <w:r>
        <w:t>1. What NexoraAI does</w:t>
      </w:r>
    </w:p>
    <w:p>
      <w:r>
        <w:t>NexoraAI provides a governed AI workspace where users can:</w:t>
      </w:r>
    </w:p>
    <w:p>
      <w:pPr>
        <w:pStyle w:val="ListBullet"/>
      </w:pPr>
      <w:r>
        <w:t>chat with approved AI Agents;</w:t>
      </w:r>
    </w:p>
    <w:p>
      <w:pPr>
        <w:pStyle w:val="ListBullet"/>
      </w:pPr>
      <w:r>
        <w:t>search authorized Knowledge sources;</w:t>
      </w:r>
    </w:p>
    <w:p>
      <w:pPr>
        <w:pStyle w:val="ListBullet"/>
      </w:pPr>
      <w:r>
        <w:t>attach images and documents to a conversation;</w:t>
      </w:r>
    </w:p>
    <w:p>
      <w:pPr>
        <w:pStyle w:val="ListBullet"/>
      </w:pPr>
      <w:r>
        <w:t>compare requirements with available evidence;</w:t>
      </w:r>
    </w:p>
    <w:p>
      <w:pPr>
        <w:pStyle w:val="ListBullet"/>
      </w:pPr>
      <w:r>
        <w:t>use tools and business integrations assigned to an Agent;</w:t>
      </w:r>
    </w:p>
    <w:p>
      <w:pPr>
        <w:pStyle w:val="ListBullet"/>
      </w:pPr>
      <w:r>
        <w:t>receive citations, tables, charts, and downloadable artifacts; and</w:t>
      </w:r>
    </w:p>
    <w:p>
      <w:pPr>
        <w:pStyle w:val="ListBullet"/>
      </w:pPr>
      <w:r>
        <w:t>review personal usage and retained conversation history.</w:t>
      </w:r>
    </w:p>
    <w:p>
      <w:r>
        <w:t>Available features depend on the selected Team, Agent, data access, model capabilities, integration assignments, and permissions configured by an administrator.</w:t>
      </w:r>
    </w:p>
    <w:p>
      <w:r>
        <w:br w:type="page"/>
      </w:r>
    </w:p>
    <w:p>
      <w:pPr>
        <w:pStyle w:val="Heading1"/>
      </w:pPr>
      <w:r>
        <w:t>2. Sign in</w:t>
      </w:r>
    </w:p>
    <w:p>
      <w:r>
        <w:t>NexoraAI may offer one or both of these sign-in methods: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shd w:fill="1F4E78"/>
          </w:tcPr>
          <w:p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shd w:fill="1F4E78"/>
          </w:tcPr>
          <w:p>
            <w:r>
              <w:rPr>
                <w:b/>
                <w:color w:val="FFFFFF"/>
                <w:sz w:val="17"/>
              </w:rPr>
              <w:t>Information required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shd w:fill="1F4E78"/>
          </w:tcPr>
          <w:p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Local account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Email address and password issued by an administrator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rFonts w:ascii="Consolas" w:hAnsi="Consolas"/>
                <w:color w:val="505050"/>
                <w:sz w:val="17"/>
              </w:rPr>
              <w:t>alex@example.com</w:t>
            </w:r>
          </w:p>
        </w:tc>
      </w:tr>
      <w:tr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Microsoft Entra ID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Your organization Microsoft account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rFonts w:ascii="Consolas" w:hAnsi="Consolas"/>
                <w:color w:val="505050"/>
                <w:sz w:val="17"/>
              </w:rPr>
              <w:t>alex@example.com</w:t>
            </w:r>
          </w:p>
        </w:tc>
      </w:tr>
    </w:tbl>
    <w:p>
      <w:pPr>
        <w:spacing w:after="0"/>
      </w:pPr>
    </w:p>
    <w:p>
      <w:r>
        <w:t xml:space="preserve">If </w:t>
      </w:r>
      <w:r>
        <w:rPr>
          <w:b/>
        </w:rPr>
        <w:t>Waiting for approval</w:t>
      </w:r>
      <w:r>
        <w:t xml:space="preserve"> is displayed, your identity is valid but an administrator has not activated or assigned the account yet. Contact your Team Administrator or System Administrator.</w:t>
      </w:r>
    </w:p>
    <w:p>
      <w:r>
        <w:t>Never share passwords, access tokens, API keys, or copied browser session values in a chat message.</w:t>
      </w:r>
    </w:p>
    <w:p>
      <w:r>
        <w:br w:type="page"/>
      </w:r>
    </w:p>
    <w:p>
      <w:pPr>
        <w:pStyle w:val="Heading1"/>
      </w:pPr>
      <w:r>
        <w:t>3. Workspace overview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rHeight w:val="3384" w:hRule="atLeast"/>
        </w:trPr>
        <w:tc>
          <w:tcPr>
            <w:tcW w:type="dxa" w:w="9749"/>
            <w:vAlign w:val="center"/>
            <w:shd w:fill="EEF5FA"/>
            <w:tcBorders>
              <w:top w:val="single" w:sz="12" w:color="1F4E78"/>
              <w:left w:val="single" w:sz="12" w:color="1F4E78"/>
              <w:bottom w:val="single" w:sz="12" w:color="1F4E78"/>
              <w:right w:val="single" w:sz="12" w:color="1F4E78"/>
              <w:insideH w:val="single" w:sz="12" w:color="1F4E78"/>
              <w:insideV w:val="single" w:sz="12" w:color="1F4E78"/>
            </w:tcBorders>
          </w:tcPr>
          <w:p>
            <w:pPr>
              <w:jc w:val="center"/>
            </w:pPr>
            <w:r>
              <w:rPr>
                <w:b/>
                <w:color w:val="1F4E78"/>
                <w:sz w:val="26"/>
              </w:rPr>
              <w:t>SCREENSHOT PLACEHOLDER 1</w:t>
              <w:br/>
              <w:br/>
              <w:t>Portal header and active Chat context</w:t>
              <w:br/>
              <w:br/>
            </w:r>
            <w:r>
              <w:rPr>
                <w:i/>
                <w:color w:val="666666"/>
                <w:sz w:val="18"/>
              </w:rPr>
              <w:t>Capture the header, account menu, Agent, model, Team, Data chips, and Change action.</w:t>
            </w:r>
          </w:p>
        </w:tc>
      </w:tr>
    </w:tbl>
    <w:p>
      <w:pPr>
        <w:jc w:val="center"/>
      </w:pPr>
      <w:r>
        <w:rPr>
          <w:i/>
          <w:color w:val="666666"/>
          <w:sz w:val="18"/>
        </w:rPr>
        <w:t>Figure 1 — Portal header and active Chat context</w:t>
      </w:r>
    </w:p>
    <w:p>
      <w:pPr>
        <w:pStyle w:val="Heading2"/>
      </w:pPr>
      <w:r>
        <w:t>3.1 Header and account menu</w:t>
      </w:r>
    </w:p>
    <w:p>
      <w:r>
        <w:t xml:space="preserve">The header contains the NexoraAI logo, the </w:t>
      </w:r>
      <w:r>
        <w:rPr>
          <w:b/>
        </w:rPr>
        <w:t>Chat</w:t>
      </w:r>
      <w:r>
        <w:t xml:space="preserve"> page, and your account menu. The account menu can include:</w:t>
      </w:r>
    </w:p>
    <w:p>
      <w:pPr>
        <w:pStyle w:val="ListBullet"/>
      </w:pPr>
      <w:r>
        <w:rPr>
          <w:b/>
        </w:rPr>
        <w:t>My profile</w:t>
      </w:r>
      <w:r>
        <w:t xml:space="preserve"> — view your account details and, for local accounts, change</w:t>
      </w:r>
    </w:p>
    <w:p>
      <w:r>
        <w:t>your password;</w:t>
      </w:r>
    </w:p>
    <w:p>
      <w:pPr>
        <w:pStyle w:val="ListBullet"/>
      </w:pPr>
      <w:r>
        <w:rPr>
          <w:b/>
        </w:rPr>
        <w:t>Team selection</w:t>
      </w:r>
      <w:r>
        <w:t xml:space="preserve"> — switch the active Team when you belong to more than one;</w:t>
      </w:r>
    </w:p>
    <w:p>
      <w:pPr>
        <w:pStyle w:val="ListBullet"/>
      </w:pPr>
      <w:r>
        <w:rPr>
          <w:b/>
        </w:rPr>
        <w:t>Administration</w:t>
      </w:r>
      <w:r>
        <w:t xml:space="preserve"> — available only when your permissions allow it; and</w:t>
      </w:r>
    </w:p>
    <w:p>
      <w:pPr>
        <w:pStyle w:val="ListBullet"/>
      </w:pPr>
      <w:r>
        <w:rPr>
          <w:b/>
        </w:rPr>
        <w:t>Sign out</w:t>
      </w:r>
      <w:r>
        <w:t>.</w:t>
      </w:r>
    </w:p>
    <w:p>
      <w:r>
        <w:t>Changing Team changes the Agents, Knowledge scopes, integrations, permissions, and Team usage context available to you.</w:t>
      </w:r>
    </w:p>
    <w:p>
      <w:pPr>
        <w:pStyle w:val="Heading2"/>
      </w:pPr>
      <w:r>
        <w:t>3.2 Chat context selector</w:t>
      </w:r>
    </w:p>
    <w:p>
      <w:r>
        <w:t>The context card above the conversation identifies the active configuration: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shd w:fill="1F4E78"/>
          </w:tcPr>
          <w:p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shd w:fill="1F4E78"/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shd w:fill="1F4E78"/>
          </w:tcPr>
          <w:p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Agent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The AI role, instructions, model, and tools used for the request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rFonts w:ascii="Consolas" w:hAnsi="Consolas"/>
                <w:color w:val="505050"/>
                <w:sz w:val="17"/>
              </w:rPr>
              <w:t>Azure Engineer</w:t>
            </w:r>
          </w:p>
        </w:tc>
      </w:tr>
      <w:tr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Model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The friendly model label selected by the Agent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rFonts w:ascii="Consolas" w:hAnsi="Consolas"/>
                <w:color w:val="505050"/>
                <w:sz w:val="17"/>
              </w:rPr>
              <w:t>GPT-4.1</w:t>
            </w:r>
          </w:p>
        </w:tc>
      </w:tr>
      <w:tr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Team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The active Team and its access boundary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rFonts w:ascii="Consolas" w:hAnsi="Consolas"/>
                <w:color w:val="505050"/>
                <w:sz w:val="17"/>
              </w:rPr>
              <w:t>Presale</w:t>
            </w:r>
          </w:p>
        </w:tc>
      </w:tr>
      <w:tr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Data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The selected Knowledge scope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rFonts w:ascii="Consolas" w:hAnsi="Consolas"/>
                <w:color w:val="505050"/>
                <w:sz w:val="17"/>
              </w:rPr>
              <w:t>Global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505050"/>
                <w:sz w:val="17"/>
              </w:rPr>
              <w:t>Team</w:t>
            </w:r>
            <w:r>
              <w:rPr>
                <w:sz w:val="17"/>
              </w:rPr>
              <w:t xml:space="preserve">, or </w:t>
            </w:r>
            <w:r>
              <w:rPr>
                <w:rFonts w:ascii="Consolas" w:hAnsi="Consolas"/>
                <w:color w:val="505050"/>
                <w:sz w:val="17"/>
              </w:rPr>
              <w:t>Personal</w:t>
            </w:r>
          </w:p>
        </w:tc>
      </w:tr>
    </w:tbl>
    <w:p>
      <w:pPr>
        <w:spacing w:after="0"/>
      </w:pPr>
    </w:p>
    <w:p>
      <w:r>
        <w:t xml:space="preserve">Select </w:t>
      </w:r>
      <w:r>
        <w:rPr>
          <w:b/>
        </w:rPr>
        <w:t>Change</w:t>
      </w:r>
      <w:r>
        <w:t xml:space="preserve"> to choose another available Agent or data scope. If an Agent is not listed, it is inactive, belongs to another Team, or has not been granted to your account.</w:t>
      </w:r>
    </w:p>
    <w:p>
      <w:r>
        <w:br w:type="page"/>
      </w:r>
    </w:p>
    <w:p>
      <w:pPr>
        <w:pStyle w:val="Heading1"/>
      </w:pPr>
      <w:r>
        <w:t>4. Chat sidebar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rHeight w:val="3384" w:hRule="atLeast"/>
        </w:trPr>
        <w:tc>
          <w:tcPr>
            <w:tcW w:type="dxa" w:w="9749"/>
            <w:vAlign w:val="center"/>
            <w:shd w:fill="EEF5FA"/>
            <w:tcBorders>
              <w:top w:val="single" w:sz="12" w:color="1F4E78"/>
              <w:left w:val="single" w:sz="12" w:color="1F4E78"/>
              <w:bottom w:val="single" w:sz="12" w:color="1F4E78"/>
              <w:right w:val="single" w:sz="12" w:color="1F4E78"/>
              <w:insideH w:val="single" w:sz="12" w:color="1F4E78"/>
              <w:insideV w:val="single" w:sz="12" w:color="1F4E78"/>
            </w:tcBorders>
          </w:tcPr>
          <w:p>
            <w:pPr>
              <w:jc w:val="center"/>
            </w:pPr>
            <w:r>
              <w:rPr>
                <w:b/>
                <w:color w:val="1F4E78"/>
                <w:sz w:val="26"/>
              </w:rPr>
              <w:t>SCREENSHOT PLACEHOLDER 2</w:t>
              <w:br/>
              <w:br/>
              <w:t>Chat workspace navigation</w:t>
              <w:br/>
              <w:br/>
            </w:r>
            <w:r>
              <w:rPr>
                <w:i/>
                <w:color w:val="666666"/>
                <w:sz w:val="18"/>
              </w:rPr>
              <w:t>Capture the expanded Workspace, Management, Insights, and Recent chats groups.</w:t>
            </w:r>
          </w:p>
        </w:tc>
      </w:tr>
    </w:tbl>
    <w:p>
      <w:pPr>
        <w:jc w:val="center"/>
      </w:pPr>
      <w:r>
        <w:rPr>
          <w:i/>
          <w:color w:val="666666"/>
          <w:sz w:val="18"/>
        </w:rPr>
        <w:t>Figure 2 — Chat workspace navigation</w:t>
      </w:r>
    </w:p>
    <w:p>
      <w:r>
        <w:t>The sidebar is grouped by purpose. It can be collapsed to provide more room for wide answers and tables.</w:t>
      </w:r>
    </w:p>
    <w:p>
      <w:pPr>
        <w:pStyle w:val="Heading2"/>
      </w:pPr>
      <w:r>
        <w:t>Workspace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shd w:fill="1F4E78"/>
          </w:tcPr>
          <w:p>
            <w:r>
              <w:rPr>
                <w:b/>
                <w:color w:val="FFFFFF"/>
                <w:sz w:val="17"/>
              </w:rPr>
              <w:t>Menu</w:t>
            </w:r>
          </w:p>
        </w:tc>
        <w:tc>
          <w:tcPr>
            <w:tcW w:type="dxa" w:w="4874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shd w:fill="1F4E78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874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b/>
                <w:sz w:val="17"/>
              </w:rPr>
              <w:t>New Chat</w:t>
            </w:r>
          </w:p>
        </w:tc>
        <w:tc>
          <w:tcPr>
            <w:tcW w:type="dxa" w:w="4874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Start a clean conversation and new conversation context</w:t>
            </w:r>
          </w:p>
        </w:tc>
      </w:tr>
      <w:tr>
        <w:tc>
          <w:tcPr>
            <w:tcW w:type="dxa" w:w="4874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b/>
                <w:sz w:val="17"/>
              </w:rPr>
              <w:t>Search History</w:t>
            </w:r>
          </w:p>
        </w:tc>
        <w:tc>
          <w:tcPr>
            <w:tcW w:type="dxa" w:w="4874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Find a retained conversation by its searchable metadata</w:t>
            </w:r>
          </w:p>
        </w:tc>
      </w:tr>
      <w:tr>
        <w:tc>
          <w:tcPr>
            <w:tcW w:type="dxa" w:w="4874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b/>
                <w:sz w:val="17"/>
              </w:rPr>
              <w:t>Feedback</w:t>
            </w:r>
          </w:p>
        </w:tc>
        <w:tc>
          <w:tcPr>
            <w:tcW w:type="dxa" w:w="4874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Send product feedback when enabled for your account</w:t>
            </w:r>
          </w:p>
        </w:tc>
      </w:tr>
      <w:tr>
        <w:tc>
          <w:tcPr>
            <w:tcW w:type="dxa" w:w="4874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b/>
                <w:sz w:val="17"/>
              </w:rPr>
              <w:t>Upload</w:t>
            </w:r>
          </w:p>
        </w:tc>
        <w:tc>
          <w:tcPr>
            <w:tcW w:type="dxa" w:w="4874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Add documents to an authorized Knowledge scope</w:t>
            </w:r>
          </w:p>
        </w:tc>
      </w:tr>
    </w:tbl>
    <w:p>
      <w:pPr>
        <w:spacing w:after="0"/>
      </w:pPr>
    </w:p>
    <w:p>
      <w:pPr>
        <w:pStyle w:val="Heading2"/>
      </w:pPr>
      <w:r>
        <w:t>Management</w:t>
      </w:r>
    </w:p>
    <w:p>
      <w:r>
        <w:t xml:space="preserve">This group appears only when you have management or upload permissions. It can contain </w:t>
      </w:r>
      <w:r>
        <w:rPr>
          <w:b/>
        </w:rPr>
        <w:t>Admin Management</w:t>
      </w:r>
      <w:r>
        <w:t xml:space="preserve">, Global Knowledge upload, and web content ingestion controls. See the </w:t>
      </w:r>
      <w:hyperlink r:id="rId12">
        <w:r>
          <w:rPr>
            <w:color w:val="0563C1"/>
            <w:u w:val="single"/>
          </w:rPr>
          <w:t>Administrator Manual</w:t>
        </w:r>
      </w:hyperlink>
      <w:r>
        <w:t>.</w:t>
      </w:r>
    </w:p>
    <w:p>
      <w:pPr>
        <w:pStyle w:val="Heading2"/>
      </w:pPr>
      <w:r>
        <w:t>Insights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shd w:fill="1F4E78"/>
          </w:tcPr>
          <w:p>
            <w:r>
              <w:rPr>
                <w:b/>
                <w:color w:val="FFFFFF"/>
                <w:sz w:val="17"/>
              </w:rPr>
              <w:t>Menu</w:t>
            </w:r>
          </w:p>
        </w:tc>
        <w:tc>
          <w:tcPr>
            <w:tcW w:type="dxa" w:w="4874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shd w:fill="1F4E78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874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b/>
                <w:sz w:val="17"/>
              </w:rPr>
              <w:t>My Usage</w:t>
            </w:r>
          </w:p>
        </w:tc>
        <w:tc>
          <w:tcPr>
            <w:tcW w:type="dxa" w:w="4874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Personal request, token, and document-processing usage</w:t>
            </w:r>
          </w:p>
        </w:tc>
      </w:tr>
      <w:tr>
        <w:tc>
          <w:tcPr>
            <w:tcW w:type="dxa" w:w="4874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b/>
                <w:sz w:val="17"/>
              </w:rPr>
              <w:t>Usage Analytics</w:t>
            </w:r>
          </w:p>
        </w:tc>
        <w:tc>
          <w:tcPr>
            <w:tcW w:type="dxa" w:w="4874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Team or System reporting when you have elevated permission</w:t>
            </w:r>
          </w:p>
        </w:tc>
      </w:tr>
      <w:tr>
        <w:tc>
          <w:tcPr>
            <w:tcW w:type="dxa" w:w="4874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b/>
                <w:sz w:val="17"/>
              </w:rPr>
              <w:t>Feedback Dashboard</w:t>
            </w:r>
          </w:p>
        </w:tc>
        <w:tc>
          <w:tcPr>
            <w:tcW w:type="dxa" w:w="4874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Review feedback when permission is granted</w:t>
            </w:r>
          </w:p>
        </w:tc>
      </w:tr>
    </w:tbl>
    <w:p>
      <w:pPr>
        <w:spacing w:after="0"/>
      </w:pPr>
    </w:p>
    <w:p>
      <w:pPr>
        <w:pStyle w:val="Heading2"/>
      </w:pPr>
      <w:r>
        <w:t>Recent chats</w:t>
      </w:r>
    </w:p>
    <w:p>
      <w:r>
        <w:t>Lists retained conversations for the signed-in owner. Selecting an item restores its messages and conversation context. A conversation can disappear because it was manually deleted or reached the configured retention period.</w:t>
      </w:r>
    </w:p>
    <w:p>
      <w:r>
        <w:br w:type="page"/>
      </w:r>
    </w:p>
    <w:p>
      <w:pPr>
        <w:pStyle w:val="Heading1"/>
      </w:pPr>
      <w:r>
        <w:t>5. Ask a question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rHeight w:val="3384" w:hRule="atLeast"/>
        </w:trPr>
        <w:tc>
          <w:tcPr>
            <w:tcW w:type="dxa" w:w="9749"/>
            <w:vAlign w:val="center"/>
            <w:shd w:fill="EEF5FA"/>
            <w:tcBorders>
              <w:top w:val="single" w:sz="12" w:color="1F4E78"/>
              <w:left w:val="single" w:sz="12" w:color="1F4E78"/>
              <w:bottom w:val="single" w:sz="12" w:color="1F4E78"/>
              <w:right w:val="single" w:sz="12" w:color="1F4E78"/>
              <w:insideH w:val="single" w:sz="12" w:color="1F4E78"/>
              <w:insideV w:val="single" w:sz="12" w:color="1F4E78"/>
            </w:tcBorders>
          </w:tcPr>
          <w:p>
            <w:pPr>
              <w:jc w:val="center"/>
            </w:pPr>
            <w:r>
              <w:rPr>
                <w:b/>
                <w:color w:val="1F4E78"/>
                <w:sz w:val="26"/>
              </w:rPr>
              <w:t>SCREENSHOT PLACEHOLDER 3</w:t>
              <w:br/>
              <w:br/>
              <w:t>Question composer</w:t>
              <w:br/>
              <w:br/>
            </w:r>
            <w:r>
              <w:rPr>
                <w:i/>
                <w:color w:val="666666"/>
                <w:sz w:val="18"/>
              </w:rPr>
              <w:t>Capture the composer, attachment action, Send action, and selected context without sensitive prompt content.</w:t>
            </w:r>
          </w:p>
        </w:tc>
      </w:tr>
    </w:tbl>
    <w:p>
      <w:pPr>
        <w:jc w:val="center"/>
      </w:pPr>
      <w:r>
        <w:rPr>
          <w:i/>
          <w:color w:val="666666"/>
          <w:sz w:val="18"/>
        </w:rPr>
        <w:t>Figure 3 — Question composer</w:t>
      </w:r>
    </w:p>
    <w:p>
      <w:pPr>
        <w:pStyle w:val="ListNumber"/>
      </w:pPr>
      <w:r>
        <w:t>Confirm the Agent, Team, and Data selections.</w:t>
      </w:r>
    </w:p>
    <w:p>
      <w:pPr>
        <w:pStyle w:val="ListNumber"/>
      </w:pPr>
      <w:r>
        <w:t xml:space="preserve">Type a clear request in </w:t>
      </w:r>
      <w:r>
        <w:rPr>
          <w:b/>
        </w:rPr>
        <w:t>Type a new question</w:t>
      </w:r>
      <w:r>
        <w:t>.</w:t>
      </w:r>
    </w:p>
    <w:p>
      <w:pPr>
        <w:pStyle w:val="ListNumber"/>
      </w:pPr>
      <w:r>
        <w:t>Attach a file if the Agent permits the required attachment type.</w:t>
      </w:r>
    </w:p>
    <w:p>
      <w:pPr>
        <w:pStyle w:val="ListNumber"/>
      </w:pPr>
      <w:r>
        <w:t xml:space="preserve">Select </w:t>
      </w:r>
      <w:r>
        <w:rPr>
          <w:b/>
        </w:rPr>
        <w:t>Send</w:t>
      </w:r>
      <w:r>
        <w:t>.</w:t>
      </w:r>
    </w:p>
    <w:p>
      <w:pPr>
        <w:pStyle w:val="ListNumber"/>
      </w:pPr>
      <w:r>
        <w:t>Review the answer, citations, tool sources, and generated artifact before</w:t>
      </w:r>
    </w:p>
    <w:p>
      <w:r>
        <w:t>using the result operationally.</w:t>
      </w:r>
    </w:p>
    <w:p>
      <w:r>
        <w:t>Example:</w:t>
      </w:r>
    </w:p>
    <w:p>
      <w:pPr>
        <w:spacing w:before="80" w:after="160"/>
        <w:ind w:left="432" w:right="288"/>
      </w:pPr>
      <w:r>
        <w:rPr>
          <w:i/>
          <w:color w:val="666666"/>
        </w:rPr>
        <w:t>Summarize the approved remote-work policy. Cite the source file and page for</w:t>
      </w:r>
    </w:p>
    <w:p>
      <w:pPr>
        <w:spacing w:before="80" w:after="160"/>
        <w:ind w:left="432" w:right="288"/>
      </w:pPr>
      <w:r>
        <w:rPr>
          <w:i/>
          <w:color w:val="666666"/>
        </w:rPr>
        <w:t>each eligibility requirement. If the evidence is missing, say so explicitly.</w:t>
      </w:r>
    </w:p>
    <w:p>
      <w:r>
        <w:t>Good requests state the task, scope, expected output, and constraints. For example:</w:t>
      </w:r>
    </w:p>
    <w:p>
      <w:pPr>
        <w:spacing w:before="80" w:after="160"/>
        <w:ind w:left="432" w:right="288"/>
      </w:pPr>
      <w:r>
        <w:rPr>
          <w:i/>
          <w:color w:val="666666"/>
        </w:rPr>
        <w:t>Compare the attached requirements with Team Knowledge. Return a table with</w:t>
      </w:r>
    </w:p>
    <w:p>
      <w:pPr>
        <w:spacing w:before="80" w:after="160"/>
        <w:ind w:left="432" w:right="288"/>
      </w:pPr>
      <w:r>
        <w:rPr>
          <w:i/>
          <w:color w:val="666666"/>
        </w:rPr>
        <w:t>Requirement, Status, Evidence, Source File, Page, and Gap. Do not infer a</w:t>
      </w:r>
    </w:p>
    <w:p>
      <w:pPr>
        <w:spacing w:before="80" w:after="160"/>
        <w:ind w:left="432" w:right="288"/>
      </w:pPr>
      <w:r>
        <w:rPr>
          <w:i/>
          <w:color w:val="666666"/>
        </w:rPr>
        <w:t>requirement when no evidence is available.</w:t>
      </w:r>
    </w:p>
    <w:p>
      <w:r>
        <w:br w:type="page"/>
      </w:r>
    </w:p>
    <w:p>
      <w:pPr>
        <w:pStyle w:val="Heading1"/>
      </w:pPr>
      <w:r>
        <w:t>6. Attachments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rHeight w:val="3384" w:hRule="atLeast"/>
        </w:trPr>
        <w:tc>
          <w:tcPr>
            <w:tcW w:type="dxa" w:w="9749"/>
            <w:vAlign w:val="center"/>
            <w:shd w:fill="EEF5FA"/>
            <w:tcBorders>
              <w:top w:val="single" w:sz="12" w:color="1F4E78"/>
              <w:left w:val="single" w:sz="12" w:color="1F4E78"/>
              <w:bottom w:val="single" w:sz="12" w:color="1F4E78"/>
              <w:right w:val="single" w:sz="12" w:color="1F4E78"/>
              <w:insideH w:val="single" w:sz="12" w:color="1F4E78"/>
              <w:insideV w:val="single" w:sz="12" w:color="1F4E78"/>
            </w:tcBorders>
          </w:tcPr>
          <w:p>
            <w:pPr>
              <w:jc w:val="center"/>
            </w:pPr>
            <w:r>
              <w:rPr>
                <w:b/>
                <w:color w:val="1F4E78"/>
                <w:sz w:val="26"/>
              </w:rPr>
              <w:t>SCREENSHOT PLACEHOLDER 4</w:t>
              <w:br/>
              <w:br/>
              <w:t>Attachment and Evidence matrix controls</w:t>
              <w:br/>
              <w:br/>
            </w:r>
            <w:r>
              <w:rPr>
                <w:i/>
                <w:color w:val="666666"/>
                <w:sz w:val="18"/>
              </w:rPr>
              <w:t>Capture safe sample attachments, processing status, Evidence matrix switch, and evidence-scope selector.</w:t>
            </w:r>
          </w:p>
        </w:tc>
      </w:tr>
    </w:tbl>
    <w:p>
      <w:pPr>
        <w:jc w:val="center"/>
      </w:pPr>
      <w:r>
        <w:rPr>
          <w:i/>
          <w:color w:val="666666"/>
          <w:sz w:val="18"/>
        </w:rPr>
        <w:t>Figure 4 — Attachment and Evidence matrix controls</w:t>
      </w:r>
    </w:p>
    <w:p>
      <w:pPr>
        <w:pStyle w:val="Heading2"/>
      </w:pPr>
      <w:r>
        <w:t>6.1 Images</w:t>
      </w:r>
    </w:p>
    <w:p>
      <w:r>
        <w:t xml:space="preserve">Paste, drag, or select an image. Image analysis is available only when the Agent has </w:t>
      </w:r>
      <w:r>
        <w:rPr>
          <w:b/>
        </w:rPr>
        <w:t>Enable image input</w:t>
      </w:r>
      <w:r>
        <w:t xml:space="preserve"> and its selected model supports vision. Otherwise the application may reject the image or use an approved OCR path.</w:t>
      </w:r>
    </w:p>
    <w:p>
      <w:r>
        <w:t>Example:</w:t>
      </w:r>
    </w:p>
    <w:p>
      <w:pPr>
        <w:spacing w:before="80" w:after="160"/>
        <w:ind w:left="432" w:right="288"/>
      </w:pPr>
      <w:r>
        <w:rPr>
          <w:i/>
          <w:color w:val="666666"/>
        </w:rPr>
        <w:t>Read this architecture screenshot and list the visible components. Separate</w:t>
      </w:r>
    </w:p>
    <w:p>
      <w:pPr>
        <w:spacing w:before="80" w:after="160"/>
        <w:ind w:left="432" w:right="288"/>
      </w:pPr>
      <w:r>
        <w:rPr>
          <w:i/>
          <w:color w:val="666666"/>
        </w:rPr>
        <w:t>observed connections from inferred connections.</w:t>
      </w:r>
    </w:p>
    <w:p>
      <w:pPr>
        <w:pStyle w:val="Heading2"/>
      </w:pPr>
      <w:r>
        <w:t>6.2 Documents</w:t>
      </w:r>
    </w:p>
    <w:p>
      <w:r>
        <w:t>Supported deployments can accept PDF, Microsoft Office Open XML, and UTF-8 text documents. The Agent must allow document attachments. The interface displays upload and extraction status; only ready documents are sent as temporary conversation evidence.</w:t>
      </w:r>
    </w:p>
    <w:p>
      <w:r>
        <w:t>Attached documents are private to the authenticated owner and conversation. They are not automatically added to permanent Knowledge.</w:t>
      </w:r>
    </w:p>
    <w:p>
      <w:pPr>
        <w:pStyle w:val="Heading2"/>
      </w:pPr>
      <w:r>
        <w:t>6.3 Evidence matrix</w:t>
      </w:r>
    </w:p>
    <w:p>
      <w:r>
        <w:t xml:space="preserve">When a requirements document is attached, enable </w:t>
      </w:r>
      <w:r>
        <w:rPr>
          <w:b/>
        </w:rPr>
        <w:t>Evidence matrix</w:t>
      </w:r>
      <w:r>
        <w:t xml:space="preserve"> and choose the evidence scope: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shd w:fill="1F4E78"/>
          </w:tcPr>
          <w:p>
            <w:r>
              <w:rPr>
                <w:b/>
                <w:color w:val="FFFFFF"/>
                <w:sz w:val="17"/>
              </w:rPr>
              <w:t>Scope</w:t>
            </w:r>
          </w:p>
        </w:tc>
        <w:tc>
          <w:tcPr>
            <w:tcW w:type="dxa" w:w="4874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shd w:fill="1F4E78"/>
          </w:tcPr>
          <w:p>
            <w:r>
              <w:rPr>
                <w:b/>
                <w:color w:val="FFFFFF"/>
                <w:sz w:val="17"/>
              </w:rPr>
              <w:t>Use when</w:t>
            </w:r>
          </w:p>
        </w:tc>
      </w:tr>
      <w:tr>
        <w:tc>
          <w:tcPr>
            <w:tcW w:type="dxa" w:w="4874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b/>
                <w:sz w:val="17"/>
              </w:rPr>
              <w:t>Knowledge only (recommended)</w:t>
            </w:r>
          </w:p>
        </w:tc>
        <w:tc>
          <w:tcPr>
            <w:tcW w:type="dxa" w:w="4874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The attachment is the checklist and permanent Knowledge is the evidence</w:t>
            </w:r>
          </w:p>
        </w:tc>
      </w:tr>
      <w:tr>
        <w:tc>
          <w:tcPr>
            <w:tcW w:type="dxa" w:w="4874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b/>
                <w:sz w:val="17"/>
              </w:rPr>
              <w:t>Attached files only</w:t>
            </w:r>
          </w:p>
        </w:tc>
        <w:tc>
          <w:tcPr>
            <w:tcW w:type="dxa" w:w="4874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Evidence is contained only in the uploaded files</w:t>
            </w:r>
          </w:p>
        </w:tc>
      </w:tr>
      <w:tr>
        <w:tc>
          <w:tcPr>
            <w:tcW w:type="dxa" w:w="4874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b/>
                <w:sz w:val="17"/>
              </w:rPr>
              <w:t>Attached files + Knowledge</w:t>
            </w:r>
          </w:p>
        </w:tc>
        <w:tc>
          <w:tcPr>
            <w:tcW w:type="dxa" w:w="4874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Both temporary files and authorized Knowledge may provide evidence</w:t>
            </w:r>
          </w:p>
        </w:tc>
      </w:tr>
    </w:tbl>
    <w:p>
      <w:pPr>
        <w:spacing w:after="0"/>
      </w:pPr>
    </w:p>
    <w:p>
      <w:r>
        <w:t xml:space="preserve">The first attachment is treated as the checklist. In </w:t>
      </w:r>
      <w:r>
        <w:rPr>
          <w:b/>
        </w:rPr>
        <w:t>Knowledge only</w:t>
      </w:r>
      <w:r>
        <w:t xml:space="preserve"> mode it must not be cited as proof of its own requirements.</w:t>
      </w:r>
    </w:p>
    <w:p>
      <w:r>
        <w:br w:type="page"/>
      </w:r>
    </w:p>
    <w:p>
      <w:pPr>
        <w:pStyle w:val="Heading1"/>
      </w:pPr>
      <w:r>
        <w:t>7. Read and verify an answer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rHeight w:val="3384" w:hRule="atLeast"/>
        </w:trPr>
        <w:tc>
          <w:tcPr>
            <w:tcW w:type="dxa" w:w="9749"/>
            <w:vAlign w:val="center"/>
            <w:shd w:fill="EEF5FA"/>
            <w:tcBorders>
              <w:top w:val="single" w:sz="12" w:color="1F4E78"/>
              <w:left w:val="single" w:sz="12" w:color="1F4E78"/>
              <w:bottom w:val="single" w:sz="12" w:color="1F4E78"/>
              <w:right w:val="single" w:sz="12" w:color="1F4E78"/>
              <w:insideH w:val="single" w:sz="12" w:color="1F4E78"/>
              <w:insideV w:val="single" w:sz="12" w:color="1F4E78"/>
            </w:tcBorders>
          </w:tcPr>
          <w:p>
            <w:pPr>
              <w:jc w:val="center"/>
            </w:pPr>
            <w:r>
              <w:rPr>
                <w:b/>
                <w:color w:val="1F4E78"/>
                <w:sz w:val="26"/>
              </w:rPr>
              <w:t>SCREENSHOT PLACEHOLDER 5</w:t>
              <w:br/>
              <w:br/>
              <w:t>Answer, citations, table, and artifact controls</w:t>
              <w:br/>
              <w:br/>
            </w:r>
            <w:r>
              <w:rPr>
                <w:i/>
                <w:color w:val="666666"/>
                <w:sz w:val="18"/>
              </w:rPr>
              <w:t>Capture a sanitized response showing citations and a downloadable artifact or chart controls.</w:t>
            </w:r>
          </w:p>
        </w:tc>
      </w:tr>
    </w:tbl>
    <w:p>
      <w:pPr>
        <w:jc w:val="center"/>
      </w:pPr>
      <w:r>
        <w:rPr>
          <w:i/>
          <w:color w:val="666666"/>
          <w:sz w:val="18"/>
        </w:rPr>
        <w:t>Figure 5 — Answer, citations, table, and artifact controls</w:t>
      </w:r>
    </w:p>
    <w:p>
      <w:pPr>
        <w:pStyle w:val="Heading2"/>
      </w:pPr>
      <w:r>
        <w:t>Citations</w:t>
      </w:r>
    </w:p>
    <w:p>
      <w:r>
        <w:t>Citation numbers open the authorized source. Permanent Knowledge citations and temporary attachment citations use different protected routes. Access is checked again when the citation is opened.</w:t>
      </w:r>
    </w:p>
    <w:p>
      <w:pPr>
        <w:pStyle w:val="Heading2"/>
      </w:pPr>
      <w:r>
        <w:t>Tool sources</w:t>
      </w:r>
    </w:p>
    <w:p>
      <w:r>
        <w:t>An answer may show tool-source labels such as Azure MCP, Database, REST, or Knowledge. These labels identify where structured information came from; they do not by themselves prove that every relationship in a generated diagram is explicitly present in the source.</w:t>
      </w:r>
    </w:p>
    <w:p>
      <w:pPr>
        <w:pStyle w:val="Heading2"/>
      </w:pPr>
      <w:r>
        <w:t>Tables and wide content</w:t>
      </w:r>
    </w:p>
    <w:p>
      <w:r>
        <w:t>Markdown tables render responsively within the answer area. On a narrow screen, the table itself may scroll horizontally while the whole page remains fitted to the viewport.</w:t>
      </w:r>
    </w:p>
    <w:p>
      <w:pPr>
        <w:pStyle w:val="Heading2"/>
      </w:pPr>
      <w:r>
        <w:t>Charts</w:t>
      </w:r>
    </w:p>
    <w:p>
      <w:r>
        <w:t>When an Agent has Visualization enabled and a tool returns suitable structured data, the answer can include a chart and source-data panel. Available actions can include:</w:t>
      </w:r>
    </w:p>
    <w:p>
      <w:pPr>
        <w:pStyle w:val="ListBullet"/>
      </w:pPr>
      <w:r>
        <w:t>download the chart as PNG;</w:t>
      </w:r>
    </w:p>
    <w:p>
      <w:pPr>
        <w:pStyle w:val="ListBullet"/>
      </w:pPr>
      <w:r>
        <w:t>download chart data as CSV; and</w:t>
      </w:r>
    </w:p>
    <w:p>
      <w:pPr>
        <w:pStyle w:val="ListBullet"/>
      </w:pPr>
      <w:r>
        <w:t>inspect row count, source tool, and truncation indicators.</w:t>
      </w:r>
    </w:p>
    <w:p>
      <w:pPr>
        <w:pStyle w:val="Heading2"/>
      </w:pPr>
      <w:r>
        <w:t>Generated files</w:t>
      </w:r>
    </w:p>
    <w:p>
      <w:r>
        <w:t xml:space="preserve">Generated files such as Draw.io diagrams appear as an artifact card. Select the file name or download action rather than copying the displayed label as plain text. Open </w:t>
      </w:r>
      <w:r>
        <w:rPr>
          <w:rFonts w:ascii="Consolas" w:hAnsi="Consolas"/>
          <w:color w:val="505050"/>
          <w:sz w:val="18"/>
        </w:rPr>
        <w:t>.drawio</w:t>
      </w:r>
      <w:r>
        <w:t xml:space="preserve"> files with diagrams.net/draw.io.</w:t>
      </w:r>
    </w:p>
    <w:p>
      <w:r>
        <w:br w:type="page"/>
      </w:r>
    </w:p>
    <w:p>
      <w:pPr>
        <w:pStyle w:val="Heading1"/>
      </w:pPr>
      <w:r>
        <w:t>8. Common workflows</w:t>
      </w:r>
    </w:p>
    <w:p>
      <w:pPr>
        <w:pStyle w:val="Heading2"/>
      </w:pPr>
      <w:r>
        <w:t>Knowledge-grounded answer</w:t>
      </w:r>
    </w:p>
    <w:p>
      <w:pPr>
        <w:pStyle w:val="ListNumber"/>
      </w:pPr>
      <w:r>
        <w:t>Select the correct Team and Agent.</w:t>
      </w:r>
    </w:p>
    <w:p>
      <w:pPr>
        <w:pStyle w:val="ListNumber"/>
      </w:pPr>
      <w:r>
        <w:t>Select the Team or Global data scope you are authorized to use.</w:t>
      </w:r>
    </w:p>
    <w:p>
      <w:pPr>
        <w:pStyle w:val="ListNumber"/>
      </w:pPr>
      <w:r>
        <w:t>Ask for citations and page numbers.</w:t>
      </w:r>
    </w:p>
    <w:p>
      <w:pPr>
        <w:pStyle w:val="ListNumber"/>
      </w:pPr>
      <w:r>
        <w:t>Open at least one citation and verify the supporting text.</w:t>
      </w:r>
    </w:p>
    <w:p>
      <w:pPr>
        <w:pStyle w:val="Heading2"/>
      </w:pPr>
      <w:r>
        <w:t>Azure inventory to Draw.io</w:t>
      </w:r>
    </w:p>
    <w:p>
      <w:r>
        <w:t>This workflow is available only when the Agent has both an Azure MCP connection and Draw.io MCP connection assigned.</w:t>
      </w:r>
    </w:p>
    <w:p>
      <w:r>
        <w:t>Example:</w:t>
      </w:r>
    </w:p>
    <w:p>
      <w:pPr>
        <w:spacing w:before="80" w:after="160"/>
        <w:ind w:left="432" w:right="288"/>
      </w:pPr>
      <w:r>
        <w:rPr>
          <w:i/>
          <w:color w:val="666666"/>
        </w:rPr>
        <w:t xml:space="preserve">Read all resources in resource group </w:t>
      </w:r>
      <w:r>
        <w:rPr>
          <w:rFonts w:ascii="Consolas" w:hAnsi="Consolas"/>
          <w:i/>
          <w:color w:val="666666"/>
          <w:sz w:val="18"/>
        </w:rPr>
        <w:t>NT_ChatAISearch</w:t>
      </w:r>
      <w:r>
        <w:rPr>
          <w:i/>
          <w:color w:val="666666"/>
        </w:rPr>
        <w:t>. Create a Draw.io</w:t>
      </w:r>
    </w:p>
    <w:p>
      <w:pPr>
        <w:spacing w:before="80" w:after="160"/>
        <w:ind w:left="432" w:right="288"/>
      </w:pPr>
      <w:r>
        <w:rPr>
          <w:i/>
          <w:color w:val="666666"/>
        </w:rPr>
        <w:t>architecture diagram using Azure icons. Use solid lines for relationships</w:t>
      </w:r>
    </w:p>
    <w:p>
      <w:pPr>
        <w:spacing w:before="80" w:after="160"/>
        <w:ind w:left="432" w:right="288"/>
      </w:pPr>
      <w:r>
        <w:rPr>
          <w:i/>
          <w:color w:val="666666"/>
        </w:rPr>
        <w:t xml:space="preserve">present in resource data and dashed lines labelled </w:t>
      </w:r>
      <w:r>
        <w:rPr>
          <w:rFonts w:ascii="Consolas" w:hAnsi="Consolas"/>
          <w:i/>
          <w:color w:val="666666"/>
          <w:sz w:val="18"/>
        </w:rPr>
        <w:t>inferred</w:t>
      </w:r>
      <w:r>
        <w:rPr>
          <w:i/>
          <w:color w:val="666666"/>
        </w:rPr>
        <w:t xml:space="preserve"> for assumptions.</w:t>
      </w:r>
    </w:p>
    <w:p>
      <w:pPr>
        <w:spacing w:before="80" w:after="160"/>
        <w:ind w:left="432" w:right="288"/>
      </w:pPr>
      <w:r>
        <w:rPr>
          <w:i/>
          <w:color w:val="666666"/>
        </w:rPr>
        <w:t xml:space="preserve">Return a downloadable </w:t>
      </w:r>
      <w:r>
        <w:rPr>
          <w:rFonts w:ascii="Consolas" w:hAnsi="Consolas"/>
          <w:i/>
          <w:color w:val="666666"/>
          <w:sz w:val="18"/>
        </w:rPr>
        <w:t>.drawio</w:t>
      </w:r>
      <w:r>
        <w:rPr>
          <w:i/>
          <w:color w:val="666666"/>
        </w:rPr>
        <w:t xml:space="preserve"> file.</w:t>
      </w:r>
    </w:p>
    <w:p>
      <w:pPr>
        <w:pStyle w:val="Heading2"/>
      </w:pPr>
      <w:r>
        <w:t>Business document workflow</w:t>
      </w:r>
    </w:p>
    <w:p>
      <w:r>
        <w:t>If Microsoft 365 or Google Workspace connections are assigned, specify the document or location precisely and request a non-destructive operation first.</w:t>
      </w:r>
    </w:p>
    <w:p>
      <w:r>
        <w:t>Example:</w:t>
      </w:r>
    </w:p>
    <w:p>
      <w:pPr>
        <w:spacing w:before="80" w:after="160"/>
        <w:ind w:left="432" w:right="288"/>
      </w:pPr>
      <w:r>
        <w:rPr>
          <w:i/>
          <w:color w:val="666666"/>
        </w:rPr>
        <w:t>Read the approved sales workbook and summarize quarterly revenue by region.</w:t>
      </w:r>
    </w:p>
    <w:p>
      <w:pPr>
        <w:spacing w:before="80" w:after="160"/>
        <w:ind w:left="432" w:right="288"/>
      </w:pPr>
      <w:r>
        <w:rPr>
          <w:i/>
          <w:color w:val="666666"/>
        </w:rPr>
        <w:t>Do not modify the workbook. Return a table and identify the worksheet used.</w:t>
      </w:r>
    </w:p>
    <w:p>
      <w:r>
        <w:br w:type="page"/>
      </w:r>
    </w:p>
    <w:p>
      <w:pPr>
        <w:pStyle w:val="Heading1"/>
      </w:pPr>
      <w:r>
        <w:t>9. Knowledge upload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rHeight w:val="3384" w:hRule="atLeast"/>
        </w:trPr>
        <w:tc>
          <w:tcPr>
            <w:tcW w:type="dxa" w:w="9749"/>
            <w:vAlign w:val="center"/>
            <w:shd w:fill="EEF5FA"/>
            <w:tcBorders>
              <w:top w:val="single" w:sz="12" w:color="1F4E78"/>
              <w:left w:val="single" w:sz="12" w:color="1F4E78"/>
              <w:bottom w:val="single" w:sz="12" w:color="1F4E78"/>
              <w:right w:val="single" w:sz="12" w:color="1F4E78"/>
              <w:insideH w:val="single" w:sz="12" w:color="1F4E78"/>
              <w:insideV w:val="single" w:sz="12" w:color="1F4E78"/>
            </w:tcBorders>
          </w:tcPr>
          <w:p>
            <w:pPr>
              <w:jc w:val="center"/>
            </w:pPr>
            <w:r>
              <w:rPr>
                <w:b/>
                <w:color w:val="1F4E78"/>
                <w:sz w:val="26"/>
              </w:rPr>
              <w:t>SCREENSHOT PLACEHOLDER 6</w:t>
              <w:br/>
              <w:br/>
              <w:t>Knowledge upload form</w:t>
              <w:br/>
              <w:br/>
            </w:r>
            <w:r>
              <w:rPr>
                <w:i/>
                <w:color w:val="666666"/>
                <w:sz w:val="18"/>
              </w:rPr>
              <w:t>Capture File, Data Group/scope, processing profile, and submission status using a non-sensitive sample file.</w:t>
            </w:r>
          </w:p>
        </w:tc>
      </w:tr>
    </w:tbl>
    <w:p>
      <w:pPr>
        <w:jc w:val="center"/>
      </w:pPr>
      <w:r>
        <w:rPr>
          <w:i/>
          <w:color w:val="666666"/>
          <w:sz w:val="18"/>
        </w:rPr>
        <w:t>Figure 6 — Knowledge upload form</w:t>
      </w:r>
    </w:p>
    <w:p>
      <w:r>
        <w:t>The upload interface and permitted scopes depend on your role.</w:t>
      </w:r>
    </w:p>
    <w:p>
      <w:r>
        <w:t>Typical information includes: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shd w:fill="1F4E78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shd w:fill="1F4E78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shd w:fill="1F4E78"/>
          </w:tcPr>
          <w:p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File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Supported document to index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rFonts w:ascii="Consolas" w:hAnsi="Consolas"/>
                <w:color w:val="505050"/>
                <w:sz w:val="17"/>
              </w:rPr>
              <w:t>remote-work-policy.pdf</w:t>
            </w:r>
          </w:p>
        </w:tc>
      </w:tr>
      <w:tr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Data scope/Data Group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Who may retrieve the document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rFonts w:ascii="Consolas" w:hAnsi="Consolas"/>
                <w:color w:val="505050"/>
                <w:sz w:val="17"/>
              </w:rPr>
              <w:t>Presale Knowledge</w:t>
            </w:r>
          </w:p>
        </w:tc>
      </w:tr>
      <w:tr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Processing profile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OCR/document parser selection; Auto uses routing rules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rFonts w:ascii="Consolas" w:hAnsi="Consolas"/>
                <w:color w:val="505050"/>
                <w:sz w:val="17"/>
              </w:rPr>
              <w:t>Auto — use routing rules</w:t>
            </w:r>
          </w:p>
        </w:tc>
      </w:tr>
    </w:tbl>
    <w:p>
      <w:pPr>
        <w:spacing w:after="0"/>
      </w:pPr>
    </w:p>
    <w:p>
      <w:r>
        <w:t>After submission, processing may pass through uploaded, extraction, chunking, embedding, ready, or failed states. A successful upload is not searchable until processing reaches ready.</w:t>
      </w:r>
    </w:p>
    <w:p>
      <w:r>
        <w:t>Do not upload credentials, private keys, license keys, or data outside the approved Team classification.</w:t>
      </w:r>
    </w:p>
    <w:p>
      <w:r>
        <w:br w:type="page"/>
      </w:r>
    </w:p>
    <w:p>
      <w:pPr>
        <w:pStyle w:val="Heading1"/>
      </w:pPr>
      <w:r>
        <w:t>10. My Usage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rHeight w:val="3384" w:hRule="atLeast"/>
        </w:trPr>
        <w:tc>
          <w:tcPr>
            <w:tcW w:type="dxa" w:w="9749"/>
            <w:vAlign w:val="center"/>
            <w:shd w:fill="EEF5FA"/>
            <w:tcBorders>
              <w:top w:val="single" w:sz="12" w:color="1F4E78"/>
              <w:left w:val="single" w:sz="12" w:color="1F4E78"/>
              <w:bottom w:val="single" w:sz="12" w:color="1F4E78"/>
              <w:right w:val="single" w:sz="12" w:color="1F4E78"/>
              <w:insideH w:val="single" w:sz="12" w:color="1F4E78"/>
              <w:insideV w:val="single" w:sz="12" w:color="1F4E78"/>
            </w:tcBorders>
          </w:tcPr>
          <w:p>
            <w:pPr>
              <w:jc w:val="center"/>
            </w:pPr>
            <w:r>
              <w:rPr>
                <w:b/>
                <w:color w:val="1F4E78"/>
                <w:sz w:val="26"/>
              </w:rPr>
              <w:t>SCREENSHOT PLACEHOLDER 7</w:t>
              <w:br/>
              <w:br/>
              <w:t>Personal usage dashboard</w:t>
              <w:br/>
              <w:br/>
            </w:r>
            <w:r>
              <w:rPr>
                <w:i/>
                <w:color w:val="666666"/>
                <w:sz w:val="18"/>
              </w:rPr>
              <w:t>Capture My Usage scope, date/bucket filters, and sanitized summary charts.</w:t>
            </w:r>
          </w:p>
        </w:tc>
      </w:tr>
    </w:tbl>
    <w:p>
      <w:pPr>
        <w:jc w:val="center"/>
      </w:pPr>
      <w:r>
        <w:rPr>
          <w:i/>
          <w:color w:val="666666"/>
          <w:sz w:val="18"/>
        </w:rPr>
        <w:t>Figure 7 — Personal usage dashboard</w:t>
      </w:r>
    </w:p>
    <w:p>
      <w:r>
        <w:rPr>
          <w:b/>
        </w:rPr>
        <w:t>My Usage</w:t>
      </w:r>
      <w:r>
        <w:t xml:space="preserve"> shows only your authorized personal usage. Depending on available data, filters include date range, daily/weekly/monthly bucket, Provider, Model, Agent, processing Profile, File type, and Document scope.</w:t>
      </w:r>
    </w:p>
    <w:p>
      <w:r>
        <w:t xml:space="preserve">Team or System administrators may see broader </w:t>
      </w:r>
      <w:r>
        <w:rPr>
          <w:b/>
        </w:rPr>
        <w:t>Usage Analytics</w:t>
      </w:r>
      <w:r>
        <w:t xml:space="preserve"> scopes. A missing Team or User breakdown usually means your role is intentionally limited to personal data.</w:t>
      </w:r>
    </w:p>
    <w:p>
      <w:r>
        <w:br w:type="page"/>
      </w:r>
    </w:p>
    <w:p>
      <w:pPr>
        <w:pStyle w:val="Heading1"/>
      </w:pPr>
      <w:r>
        <w:t>11. Profile and password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trHeight w:val="3384" w:hRule="atLeast"/>
        </w:trPr>
        <w:tc>
          <w:tcPr>
            <w:tcW w:type="dxa" w:w="9749"/>
            <w:vAlign w:val="center"/>
            <w:shd w:fill="EEF5FA"/>
            <w:tcBorders>
              <w:top w:val="single" w:sz="12" w:color="1F4E78"/>
              <w:left w:val="single" w:sz="12" w:color="1F4E78"/>
              <w:bottom w:val="single" w:sz="12" w:color="1F4E78"/>
              <w:right w:val="single" w:sz="12" w:color="1F4E78"/>
              <w:insideH w:val="single" w:sz="12" w:color="1F4E78"/>
              <w:insideV w:val="single" w:sz="12" w:color="1F4E78"/>
            </w:tcBorders>
          </w:tcPr>
          <w:p>
            <w:pPr>
              <w:jc w:val="center"/>
            </w:pPr>
            <w:r>
              <w:rPr>
                <w:b/>
                <w:color w:val="1F4E78"/>
                <w:sz w:val="26"/>
              </w:rPr>
              <w:t>SCREENSHOT PLACEHOLDER 8</w:t>
              <w:br/>
              <w:br/>
              <w:t>My profile</w:t>
              <w:br/>
              <w:br/>
            </w:r>
            <w:r>
              <w:rPr>
                <w:i/>
                <w:color w:val="666666"/>
                <w:sz w:val="18"/>
              </w:rPr>
              <w:t>Capture the profile dialog with personal values replaced or blurred.</w:t>
            </w:r>
          </w:p>
        </w:tc>
      </w:tr>
    </w:tbl>
    <w:p>
      <w:pPr>
        <w:jc w:val="center"/>
      </w:pPr>
      <w:r>
        <w:rPr>
          <w:i/>
          <w:color w:val="666666"/>
          <w:sz w:val="18"/>
        </w:rPr>
        <w:t>Figure 8 — My profile</w:t>
      </w:r>
    </w:p>
    <w:p>
      <w:r>
        <w:t xml:space="preserve">Open the account menu and select </w:t>
      </w:r>
      <w:r>
        <w:rPr>
          <w:b/>
        </w:rPr>
        <w:t>My profile</w:t>
      </w:r>
      <w:r>
        <w:t>. Account information can include name, email, employee ID, telephone number, active status, and Teams.</w:t>
      </w:r>
    </w:p>
    <w:p>
      <w:r>
        <w:t>For a local account, use the password-change action and enter the current and new passwords. Microsoft Entra passwords are managed by your organization and cannot be changed in NexoraAI.</w:t>
      </w:r>
    </w:p>
    <w:p>
      <w:r>
        <w:br w:type="page"/>
      </w:r>
    </w:p>
    <w:p>
      <w:pPr>
        <w:pStyle w:val="Heading1"/>
      </w:pPr>
      <w:r>
        <w:t>12. Troubleshooting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shd w:fill="1F4E78"/>
          </w:tcPr>
          <w:p>
            <w:r>
              <w:rPr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shd w:fill="1F4E78"/>
          </w:tcPr>
          <w:p>
            <w:r>
              <w:rPr>
                <w:b/>
                <w:color w:val="FFFFFF"/>
                <w:sz w:val="17"/>
              </w:rPr>
              <w:t>What to check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shd w:fill="1F4E78"/>
          </w:tcPr>
          <w:p/>
        </w:tc>
      </w:tr>
      <w:tr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Agent is missing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Confirm the active Team and ask an administrator whether the Agent is active and assigned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/>
        </w:tc>
      </w:tr>
      <w:tr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Upload is disabled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The Agent or your role may not allow that attachment/document scope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/>
        </w:tc>
      </w:tr>
      <w:tr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Tool is not called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Confirm the selected Agent has the integration and that its invocation mode/policy permits the tool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/>
        </w:tc>
      </w:tr>
      <w:tr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Citation does not open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The item may have expired or your owner/Team access changed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/>
        </w:tc>
      </w:tr>
      <w:tr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Answer has no evidence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Select the correct data scope and ask explicitly for citations; do not treat an unsupported answer as verified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/>
        </w:tc>
      </w:tr>
      <w:tr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Table appears as `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` text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Start a new response and request a valid Markdown table with one header row and one separator row</w:t>
            </w:r>
          </w:p>
        </w:tc>
      </w:tr>
      <w:tr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Generated file does not open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Download from the artifact card and confirm the file extension; ask the Agent to regenerate valid XML if it is a Draw.io file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/>
        </w:tc>
      </w:tr>
      <w:tr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Session expired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Sign in again; unsent draft content may need to be entered again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/>
        </w:tc>
      </w:tr>
      <w:tr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Feature/menu is missing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>
            <w:r>
              <w:rPr>
                <w:sz w:val="17"/>
              </w:rPr>
              <w:t>Menus are permission-, Team-, deployment-, and license-dependent</w:t>
            </w:r>
          </w:p>
        </w:tc>
        <w:tc>
          <w:tcPr>
            <w:tcW w:type="dxa" w:w="32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</w:tcPr>
          <w:p/>
        </w:tc>
      </w:tr>
    </w:tbl>
    <w:p>
      <w:pPr>
        <w:spacing w:after="0"/>
      </w:pPr>
    </w:p>
    <w:p>
      <w:r>
        <w:t>If the problem continues, record the time, active Team, Agent name, action, and safe error message. Do not include passwords, tokens, full prompts containing sensitive data, or raw tool output in a support ticket.</w:t>
      </w:r>
    </w:p>
    <w:p>
      <w:r>
        <w:br w:type="page"/>
      </w:r>
    </w:p>
    <w:p>
      <w:pPr>
        <w:pStyle w:val="Heading1"/>
      </w:pPr>
      <w:r>
        <w:t>13. Current limitations</w:t>
      </w:r>
    </w:p>
    <w:p>
      <w:pPr>
        <w:pStyle w:val="ListBullet"/>
      </w:pPr>
      <w:r>
        <w:t>AI output can be incomplete or incorrect and must be reviewed before an</w:t>
      </w:r>
    </w:p>
    <w:p>
      <w:r>
        <w:t>operational change.</w:t>
      </w:r>
    </w:p>
    <w:p>
      <w:pPr>
        <w:pStyle w:val="ListBullet"/>
      </w:pPr>
      <w:r>
        <w:t>Tool availability does not guarantee the selected model can perform reliable</w:t>
      </w:r>
    </w:p>
    <w:p>
      <w:r>
        <w:t>tool calling; administrators should test model capabilities.</w:t>
      </w:r>
    </w:p>
    <w:p>
      <w:pPr>
        <w:pStyle w:val="ListBullet"/>
      </w:pPr>
      <w:r>
        <w:t xml:space="preserve">Some integration catalog entries are marked </w:t>
      </w:r>
      <w:r>
        <w:rPr>
          <w:b/>
        </w:rPr>
        <w:t>Coming soon</w:t>
      </w:r>
      <w:r>
        <w:t>.</w:t>
      </w:r>
    </w:p>
    <w:p>
      <w:pPr>
        <w:pStyle w:val="ListBullet"/>
      </w:pPr>
      <w:r>
        <w:t>In-product System Health cannot detect a complete outage when the application</w:t>
      </w:r>
    </w:p>
    <w:p>
      <w:r>
        <w:t>itself is unavailable; production deployments also require external monitoring.</w:t>
      </w:r>
    </w:p>
    <w:p>
      <w:r>
        <w:br w:type="page"/>
      </w:r>
    </w:p>
    <w:p>
      <w:pPr>
        <w:pStyle w:val="Heading1"/>
      </w:pPr>
      <w:r>
        <w:t>Related documentation</w:t>
      </w:r>
    </w:p>
    <w:p>
      <w:pPr>
        <w:pStyle w:val="ListBullet"/>
      </w:pPr>
      <w:hyperlink r:id="rId12">
        <w:r>
          <w:rPr>
            <w:color w:val="0563C1"/>
            <w:u w:val="single"/>
          </w:rPr>
          <w:t>Administrator Manual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>Azure inventory to Draw.io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>Usage analytics</w:t>
        </w:r>
      </w:hyperlink>
    </w:p>
    <w:p>
      <w:pPr>
        <w:pStyle w:val="ListBullet"/>
      </w:pPr>
      <w:hyperlink r:id="rId15">
        <w:r>
          <w:rPr>
            <w:color w:val="0563C1"/>
            <w:u w:val="single"/>
          </w:rPr>
          <w:t>Local authentication</w:t>
        </w:r>
      </w:hyperlink>
    </w:p>
    <w:p>
      <w:pPr>
        <w:pStyle w:val="ListBullet"/>
      </w:pPr>
      <w:hyperlink r:id="rId16">
        <w:r>
          <w:rPr>
            <w:color w:val="0563C1"/>
            <w:u w:val="single"/>
          </w:rPr>
          <w:t>AI guardrails</w:t>
        </w:r>
      </w:hyperlink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NexoraAI  •  Internal Product Documentation  •  Page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 xml:space="preserve"> PAGE </w:instrText>
    </w:r>
    <w:r>
      <w:rPr>
        <w:color w:val="666666"/>
        <w:sz w:val="16"/>
      </w:rPr>
      <w:fldChar w:fldCharType="separate"/>
    </w:r>
    <w:r>
      <w:rPr>
        <w:color w:val="666666"/>
        <w:sz w:val="16"/>
      </w:rPr>
      <w:fldChar w:fldCharType="end"/>
    </w:r>
    <w:r>
      <w:rPr>
        <w:color w:val="666666"/>
        <w:sz w:val="16"/>
      </w:rPr>
      <w:t xml:space="preserve"> of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 xml:space="preserve"> NUMPAGES </w:instrText>
    </w:r>
    <w:r>
      <w:rPr>
        <w:color w:val="666666"/>
        <w:sz w:val="16"/>
      </w:rPr>
      <w:fldChar w:fldCharType="separate"/>
    </w:r>
    <w:r>
      <w:rPr>
        <w:color w:val="666666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NexoraAI  |  NexoraAI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F4E7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6666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Liberation Sans" w:hAnsi="Liberation Sans"/>
      <w:b/>
      <w:color w:val="1F4E7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admin-manual.md" TargetMode="External"/><Relationship Id="rId13" Type="http://schemas.openxmlformats.org/officeDocument/2006/relationships/hyperlink" Target="azure-drawio-mcp.md" TargetMode="External"/><Relationship Id="rId14" Type="http://schemas.openxmlformats.org/officeDocument/2006/relationships/hyperlink" Target="usage-analytics.md" TargetMode="External"/><Relationship Id="rId15" Type="http://schemas.openxmlformats.org/officeDocument/2006/relationships/hyperlink" Target="local-authentication.md" TargetMode="External"/><Relationship Id="rId16" Type="http://schemas.openxmlformats.org/officeDocument/2006/relationships/hyperlink" Target="ai-guardrail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NexoraAI User Manual</dc:title>
  <dc:subject>NexoraAI product usage and administration</dc:subject>
  <dc:creator>NexoraAI</dc:creator>
  <cp:keywords>NexoraAI, manual, user guide, administrator guide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