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329678"/>
            <wp:docPr id="1" name="Picture 1"/>
            <wp:cNvGraphicFramePr>
              <a:graphicFrameLocks noChangeAspect="1"/>
            </wp:cNvGraphicFramePr>
            <a:graphic>
              <a:graphicData uri="http://schemas.openxmlformats.org/drawingml/2006/picture">
                <pic:pic>
                  <pic:nvPicPr>
                    <pic:cNvPr id="0" name="insight_sphere_new.png"/>
                    <pic:cNvPicPr/>
                  </pic:nvPicPr>
                  <pic:blipFill>
                    <a:blip r:embed="rId11"/>
                    <a:stretch>
                      <a:fillRect/>
                    </a:stretch>
                  </pic:blipFill>
                  <pic:spPr>
                    <a:xfrm>
                      <a:off x="0" y="0"/>
                      <a:ext cx="1234440" cy="329678"/>
                    </a:xfrm>
                    <a:prstGeom prst="rect"/>
                  </pic:spPr>
                </pic:pic>
              </a:graphicData>
            </a:graphic>
          </wp:inline>
        </w:drawing>
      </w:r>
    </w:p>
    <w:p>
      <w:pPr>
        <w:pStyle w:val="Title"/>
        <w:jc w:val="center"/>
      </w:pPr>
      <w:r>
        <w:t>NexoraAI Administrator Manual</w:t>
      </w:r>
    </w:p>
    <w:p>
      <w:pPr>
        <w:jc w:val="center"/>
      </w:pPr>
      <w:r>
        <w:rPr>
          <w:b/>
          <w:color w:val="1F4E78"/>
          <w:sz w:val="32"/>
        </w:rPr>
        <w:t>Product Manual</w:t>
      </w:r>
    </w:p>
    <w:p/>
    <w:p>
      <w:pPr>
        <w:jc w:val="center"/>
      </w:pPr>
      <w:r>
        <w:rPr>
          <w:b/>
        </w:rPr>
        <w:t xml:space="preserve">Audience: </w:t>
      </w:r>
      <w:r>
        <w:t>System Administrators, Team Administrators, security administrators, and platform operators</w:t>
      </w:r>
    </w:p>
    <w:p>
      <w:pPr>
        <w:jc w:val="center"/>
      </w:pPr>
      <w:r>
        <w:rPr>
          <w:b/>
        </w:rPr>
        <w:t xml:space="preserve">Language: </w:t>
      </w:r>
      <w:r>
        <w:t>English</w:t>
      </w:r>
    </w:p>
    <w:p>
      <w:pPr>
        <w:jc w:val="center"/>
      </w:pPr>
      <w:r>
        <w:rPr>
          <w:b/>
        </w:rPr>
        <w:t xml:space="preserve">Last verified: </w:t>
      </w:r>
      <w:r>
        <w:t>8 September 2026</w:t>
      </w:r>
    </w:p>
    <w:p>
      <w:pPr>
        <w:jc w:val="center"/>
      </w:pPr>
      <w:r>
        <w:rPr>
          <w:b/>
        </w:rPr>
        <w:t xml:space="preserve">Document status: </w:t>
      </w:r>
      <w:r>
        <w:t>Controlled working manual — update in place</w:t>
      </w:r>
    </w:p>
    <w:p>
      <w:pPr>
        <w:spacing w:before="480"/>
        <w:jc w:val="center"/>
      </w:pPr>
      <w:r>
        <w:rPr>
          <w:i/>
          <w:color w:val="666666"/>
        </w:rPr>
        <w:t>Screenshot placeholders are intentionally blank. Insert images from the approved delivery environment and remove or blur sensitive values.</w:t>
      </w:r>
    </w:p>
    <w:p>
      <w:r>
        <w:br w:type="page"/>
      </w:r>
    </w:p>
    <w:p>
      <w:pPr>
        <w:pStyle w:val="Heading1"/>
        <w:spacing w:after="240"/>
      </w:pPr>
      <w:r>
        <w:t>Table of Contents</w:t>
      </w:r>
    </w:p>
    <w:p>
      <w:r>
        <w:fldChar w:fldCharType="begin"/>
      </w:r>
      <w:r>
        <w:instrText xml:space="preserve"> TOC \o "1-3" \h \z \u </w:instrText>
      </w:r>
      <w:r>
        <w:fldChar w:fldCharType="separate"/>
      </w:r>
      <w:r>
        <w:fldChar w:fldCharType="end"/>
      </w:r>
    </w:p>
    <w:p>
      <w:r>
        <w:rPr>
          <w:i/>
          <w:color w:val="666666"/>
        </w:rPr>
        <w:t>In Microsoft Word: right-click the table and select Update Field → Update entire table.</w:t>
      </w:r>
    </w:p>
    <w:p>
      <w:r>
        <w:br w:type="page"/>
      </w:r>
    </w:p>
    <w:p>
      <w:r>
        <w:t>This is the stable Administrator Manual for NexoraAI. Update this file in place when an administrative feature, field, workflow, permission, or menu changes. Do not create a dated replacement manual unless a separately maintained release manual is explicitly requested.</w:t>
      </w:r>
    </w:p>
    <w:p>
      <w:r>
        <w:t xml:space="preserve">The formatted Word deliverable is </w:t>
      </w:r>
      <w:r>
        <w:rPr>
          <w:rFonts w:ascii="Consolas" w:hAnsi="Consolas"/>
          <w:color w:val="505050"/>
          <w:sz w:val="18"/>
        </w:rPr>
        <w:t>NexoraAI-Administrator-Manual.docx</w:t>
      </w:r>
      <w:r>
        <w:t xml:space="preserve">. Regenerate both Word manuals after updating their Markdown sources with: </w:t>
      </w:r>
      <w:r>
        <w:rPr>
          <w:rFonts w:ascii="Consolas" w:hAnsi="Consolas"/>
          <w:color w:val="505050"/>
          <w:sz w:val="18"/>
        </w:rPr>
        <w:t xml:space="preserve"> .venv/bin/python scripts/build_manual_docx.py </w:t>
      </w:r>
      <w:r>
        <w:t>.</w:t>
      </w:r>
    </w:p>
    <w:p>
      <w:r>
        <w:br w:type="page"/>
      </w:r>
    </w:p>
    <w:p>
      <w:pPr>
        <w:pStyle w:val="Heading1"/>
      </w:pPr>
      <w:r>
        <w:t>1. Administrative model</w:t>
      </w:r>
    </w:p>
    <w:p>
      <w:r>
        <w:t>NexoraAI separates two management contexts: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Context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Scope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Typical administrators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Team workspace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Members, roles, data, Agents, integrations, and policies for one Team</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 Administrator, delegated manager, System Administrator</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System administration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Organization-wide users, Teams, providers, governance, health, licensing, and authentication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System Administrator</w:t>
            </w:r>
          </w:p>
        </w:tc>
      </w:tr>
    </w:tbl>
    <w:p>
      <w:pPr>
        <w:spacing w:after="0"/>
      </w:pPr>
    </w:p>
    <w:p>
      <w:r>
        <w:t xml:space="preserve">The settings header identifies the active context as </w:t>
      </w:r>
      <w:r>
        <w:rPr>
          <w:b/>
        </w:rPr>
        <w:t>TEAM WORKSPACE</w:t>
      </w:r>
      <w:r>
        <w:t xml:space="preserve"> or </w:t>
      </w:r>
      <w:r>
        <w:rPr>
          <w:b/>
        </w:rPr>
        <w:t>SYSTEM ADMINISTRATION</w:t>
      </w:r>
      <w:r>
        <w:t>. Always verify this header before editing. A Team setting must not be assumed to affect the entire System, and a System default may be narrowed by a Team or Agent policy where the security contract allows it.</w:t>
      </w:r>
    </w:p>
    <w:p>
      <w:r>
        <w:t>Menus are permission-aware. A missing menu normally means the current account does not have its required permission.</w:t>
      </w:r>
    </w:p>
    <w:p>
      <w:r>
        <w:br w:type="page"/>
      </w:r>
    </w:p>
    <w:p>
      <w:pPr>
        <w:pStyle w:val="Heading1"/>
      </w:pPr>
      <w:r>
        <w:t>2. Recommended initial setup order</w:t>
      </w:r>
    </w:p>
    <w:p>
      <w:pPr>
        <w:pStyle w:val="ListNumber"/>
      </w:pPr>
      <w:r>
        <w:t xml:space="preserve">Configure </w:t>
      </w:r>
      <w:r>
        <w:rPr>
          <w:b/>
        </w:rPr>
        <w:t>Sign-in &amp; authentication</w:t>
      </w:r>
      <w:r>
        <w:t>.</w:t>
      </w:r>
    </w:p>
    <w:p>
      <w:pPr>
        <w:pStyle w:val="ListNumber"/>
      </w:pPr>
      <w:r>
        <w:t>Create or verify System users and System permissions.</w:t>
      </w:r>
    </w:p>
    <w:p>
      <w:pPr>
        <w:pStyle w:val="ListNumber"/>
      </w:pPr>
      <w:r>
        <w:t xml:space="preserve">Configure </w:t>
      </w:r>
      <w:r>
        <w:rPr>
          <w:b/>
        </w:rPr>
        <w:t>LLM providers</w:t>
      </w:r>
      <w:r>
        <w:t xml:space="preserve"> and test every model capability.</w:t>
      </w:r>
    </w:p>
    <w:p>
      <w:pPr>
        <w:pStyle w:val="ListNumber"/>
      </w:pPr>
      <w:r>
        <w:t>Create Teams and assign Team members.</w:t>
      </w:r>
    </w:p>
    <w:p>
      <w:pPr>
        <w:pStyle w:val="ListNumber"/>
      </w:pPr>
      <w:r>
        <w:t>Define Team roles and permissions.</w:t>
      </w:r>
    </w:p>
    <w:p>
      <w:pPr>
        <w:pStyle w:val="ListNumber"/>
      </w:pPr>
      <w:r>
        <w:t>Create Data Groups and their access mode.</w:t>
      </w:r>
    </w:p>
    <w:p>
      <w:pPr>
        <w:pStyle w:val="ListNumber"/>
      </w:pPr>
      <w:r>
        <w:t>Add Team integrations and test each connection.</w:t>
      </w:r>
    </w:p>
    <w:p>
      <w:pPr>
        <w:pStyle w:val="ListNumber"/>
      </w:pPr>
      <w:r>
        <w:t>Create Agents, select their model/runtime, and assign integrations.</w:t>
      </w:r>
    </w:p>
    <w:p>
      <w:pPr>
        <w:pStyle w:val="ListNumber"/>
      </w:pPr>
      <w:r>
        <w:t>Configure Guardrails, Usage quotas, and Chat history retention.</w:t>
      </w:r>
    </w:p>
    <w:p>
      <w:pPr>
        <w:pStyle w:val="ListNumber"/>
      </w:pPr>
      <w:r>
        <w:t xml:space="preserve">Verify </w:t>
      </w:r>
      <w:r>
        <w:rPr>
          <w:b/>
        </w:rPr>
        <w:t>System health</w:t>
      </w:r>
      <w:r>
        <w:t>, backup, TLS, and the License status.</w:t>
      </w:r>
    </w:p>
    <w:p>
      <w:r>
        <w:t>Use a non-production Team for initial provider, tool, and prompt validation.</w:t>
      </w:r>
    </w:p>
    <w:p>
      <w:r>
        <w:br w:type="page"/>
      </w:r>
    </w:p>
    <w:p>
      <w:pPr>
        <w:pStyle w:val="Heading1"/>
      </w:pPr>
      <w:r>
        <w:t>3. Open Administration</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1</w:t>
              <w:br/>
              <w:br/>
              <w:t>System Administration navigation</w:t>
              <w:br/>
              <w:br/>
            </w:r>
            <w:r>
              <w:rPr>
                <w:i/>
                <w:color w:val="666666"/>
                <w:sz w:val="18"/>
              </w:rPr>
              <w:t>Capture the collapsed menu groups and the SYSTEM ADMINISTRATION context header.</w:t>
            </w:r>
          </w:p>
        </w:tc>
      </w:tr>
    </w:tbl>
    <w:p>
      <w:pPr>
        <w:jc w:val="center"/>
      </w:pPr>
      <w:r>
        <w:rPr>
          <w:i/>
          <w:color w:val="666666"/>
          <w:sz w:val="18"/>
        </w:rPr>
        <w:t>Figure 1 — System Administration navigation</w:t>
      </w:r>
    </w:p>
    <w:p>
      <w:r>
        <w:t xml:space="preserve">Open the account menu and select </w:t>
      </w:r>
      <w:r>
        <w:rPr>
          <w:b/>
        </w:rPr>
        <w:t>Administration</w:t>
      </w:r>
      <w:r>
        <w:t>. The System view opens with collapsed menu groups. Select a group to expand it.</w:t>
      </w:r>
    </w:p>
    <w:p>
      <w:pPr>
        <w:pStyle w:val="Heading2"/>
      </w:pPr>
      <w:r>
        <w:t>System Administration menu map</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Group</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Menu</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Purpose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Organization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Create Teams and open their Team workspace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Review and manage registered users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 permissions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Assign System Admin and direct System/Team permissions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Governance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 audit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Review metadata-only Agent/tool activity</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Guardrail policy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Set the System guardrail baseline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Usage quotas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Set System and global user ceilings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System chat history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Set maximum conversation retention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System administration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System health</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Run an on-demand operational snapshot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LLM providers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Manage model-provider connections and model profiles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Integration catalog</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Manage unassigned connections before Team assignment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License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Start Trial or activate an offline license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Sign-in &amp; authentication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Configure Microsoft Entra ID and view local-auth source</w:t>
            </w:r>
          </w:p>
        </w:tc>
      </w:tr>
    </w:tbl>
    <w:p>
      <w:pPr>
        <w:spacing w:after="0"/>
      </w:pPr>
    </w:p>
    <w:p>
      <w:pPr>
        <w:pStyle w:val="Heading2"/>
      </w:pPr>
      <w:r>
        <w:t>Team workspace menu map</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Group</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Menu</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Purpose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Team · _name_</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Members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Approve, add, view, activate, or remove Team members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Roles &amp; permissions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Create role presets and assign Team permissions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 access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Create Data Groups and select the authorized audience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AI workspace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Configure Team Agents and their tool assignments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 integrations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Add and manage Team-owned connections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b/>
                <w:sz w:val="17"/>
              </w:rPr>
              <w:t>Governance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Guardrail policy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Configure a Team policy without weakening its parent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Usage quotas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Configure Team totals and per-member limits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 chat history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Shorten Team retention within the System maximum</w:t>
            </w:r>
          </w:p>
        </w:tc>
      </w:tr>
    </w:tbl>
    <w:p>
      <w:pPr>
        <w:spacing w:after="0"/>
      </w:pPr>
    </w:p>
    <w:p>
      <w:r>
        <w:br w:type="page"/>
      </w:r>
    </w:p>
    <w:p>
      <w:pPr>
        <w:pStyle w:val="Heading1"/>
      </w:pPr>
      <w:r>
        <w:t>4. Organization</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2</w:t>
              <w:br/>
              <w:br/>
              <w:t>Organization management</w:t>
              <w:br/>
              <w:br/>
            </w:r>
            <w:r>
              <w:rPr>
                <w:i/>
                <w:color w:val="666666"/>
                <w:sz w:val="18"/>
              </w:rPr>
              <w:t>Capture the Teams list and Users &amp; permissions navigation using sanitized identities.</w:t>
            </w:r>
          </w:p>
        </w:tc>
      </w:tr>
    </w:tbl>
    <w:p>
      <w:pPr>
        <w:jc w:val="center"/>
      </w:pPr>
      <w:r>
        <w:rPr>
          <w:i/>
          <w:color w:val="666666"/>
          <w:sz w:val="18"/>
        </w:rPr>
        <w:t>Figure 2 — Organization management</w:t>
      </w:r>
    </w:p>
    <w:p>
      <w:pPr>
        <w:pStyle w:val="Heading2"/>
      </w:pPr>
      <w:r>
        <w:t>4.1 Teams</w:t>
      </w:r>
    </w:p>
    <w:p>
      <w:r>
        <w:t xml:space="preserve">Use </w:t>
      </w:r>
      <w:r>
        <w:rPr>
          <w:b/>
        </w:rPr>
        <w:t>Organization → Teams</w:t>
      </w:r>
      <w:r>
        <w:t xml:space="preserve"> to search, create, open, rename, or delete a Team.</w:t>
      </w:r>
    </w:p>
    <w:tbl>
      <w:tblPr>
        <w:tblStyle w:val="TableGrid"/>
        <w:tblW w:type="auto" w:w="0"/>
        <w:tblLayout w:type="autofit"/>
        <w:tblLook w:firstColumn="1" w:firstRow="1" w:lastColumn="0" w:lastRow="0" w:noHBand="0" w:noVBand="1" w:val="04A0"/>
      </w:tblPr>
      <w:tblGrid>
        <w:gridCol w:w="2437"/>
        <w:gridCol w:w="2437"/>
        <w:gridCol w:w="2437"/>
        <w:gridCol w:w="2437"/>
      </w:tblGrid>
      <w:tr>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Required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 name</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Yes</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Human-readable unique Team name</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Presale</w:t>
            </w:r>
          </w:p>
        </w:tc>
      </w:tr>
    </w:tbl>
    <w:p>
      <w:pPr>
        <w:spacing w:after="0"/>
      </w:pPr>
    </w:p>
    <w:p>
      <w:r>
        <w:t>Select a Team's manage/view action to enter its Team workspace. Renaming a Team does not change its internal ID. Before deleting a Team, review its users, Data Groups, Agents, integrations, and retained records.</w:t>
      </w:r>
    </w:p>
    <w:p>
      <w:pPr>
        <w:pStyle w:val="Heading2"/>
      </w:pPr>
      <w:r>
        <w:t>4.2 Users</w:t>
      </w:r>
    </w:p>
    <w:p>
      <w:r>
        <w:rPr>
          <w:b/>
        </w:rPr>
        <w:t>Organization → Users</w:t>
      </w:r>
      <w:r>
        <w:t xml:space="preserve"> displays registered local and/or Entra identities. Common user data includes: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First name / Last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Display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Alex Morgan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Email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Primary sign-in/contact address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alex@example.com</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AD email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Microsoft Entra identity when applicable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alex@example.onmicrosoft.com</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Employee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Organization identifier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EMP-1042</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Telephone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Optional contact number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+66 2 000 0000</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Active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Whether the user may use the application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Enabled</w:t>
            </w:r>
          </w:p>
        </w:tc>
      </w:tr>
    </w:tbl>
    <w:p>
      <w:pPr>
        <w:spacing w:after="0"/>
      </w:pPr>
    </w:p>
    <w:p>
      <w:r>
        <w:t>For a managed local user, create/reset credentials through the provided local account actions. Never send a permanent password over an unprotected channel. For Entra users, password and MFA lifecycle remain in Microsoft Entra ID.</w:t>
      </w:r>
    </w:p>
    <w:p>
      <w:pPr>
        <w:pStyle w:val="Heading2"/>
      </w:pPr>
      <w:r>
        <w:t>4.3 User permissions</w:t>
      </w:r>
    </w:p>
    <w:p>
      <w:r>
        <w:t>Select a user, then configure:</w:t>
      </w:r>
    </w:p>
    <w:p>
      <w:pPr>
        <w:pStyle w:val="ListBullet"/>
      </w:pPr>
      <w:r>
        <w:rPr>
          <w:b/>
        </w:rPr>
        <w:t>System Admin</w:t>
      </w:r>
      <w:r>
        <w:t xml:space="preserve"> — grants complete System Administration authority;</w:t>
      </w:r>
    </w:p>
    <w:p>
      <w:pPr>
        <w:pStyle w:val="ListBullet"/>
      </w:pPr>
      <w:r>
        <w:rPr>
          <w:b/>
        </w:rPr>
        <w:t>System Permissions</w:t>
      </w:r>
      <w:r>
        <w:t xml:space="preserve"> — direct organization-wide permissions; and</w:t>
      </w:r>
    </w:p>
    <w:p>
      <w:pPr>
        <w:pStyle w:val="ListBullet"/>
      </w:pPr>
      <w:r>
        <w:rPr>
          <w:b/>
        </w:rPr>
        <w:t>Team</w:t>
      </w:r>
      <w:r>
        <w:t xml:space="preserve"> plus </w:t>
      </w:r>
      <w:r>
        <w:rPr>
          <w:b/>
        </w:rPr>
        <w:t>Team Permissions</w:t>
      </w:r>
      <w:r>
        <w:t xml:space="preserve"> — direct authority within a selected Team.</w:t>
      </w:r>
    </w:p>
    <w:p>
      <w:r>
        <w:t>Prefer role-based Team permissions for routine administration. Grant System Admin only to operators who must control authentication, providers, licensing, and organization-wide policy.</w:t>
      </w:r>
    </w:p>
    <w:p>
      <w:r>
        <w:br w:type="page"/>
      </w:r>
    </w:p>
    <w:p>
      <w:pPr>
        <w:pStyle w:val="Heading1"/>
      </w:pPr>
      <w:r>
        <w:t>5. Team workspace</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3</w:t>
              <w:br/>
              <w:br/>
              <w:t>Team workspace navigation</w:t>
              <w:br/>
              <w:br/>
            </w:r>
            <w:r>
              <w:rPr>
                <w:i/>
                <w:color w:val="666666"/>
                <w:sz w:val="18"/>
              </w:rPr>
              <w:t>Capture a Team context header and the Members, Roles &amp; permissions, Data access, Agents, and Team integrations menus.</w:t>
            </w:r>
          </w:p>
        </w:tc>
      </w:tr>
    </w:tbl>
    <w:p>
      <w:pPr>
        <w:jc w:val="center"/>
      </w:pPr>
      <w:r>
        <w:rPr>
          <w:i/>
          <w:color w:val="666666"/>
          <w:sz w:val="18"/>
        </w:rPr>
        <w:t>Figure 3 — Team workspace navigation</w:t>
      </w:r>
    </w:p>
    <w:p>
      <w:pPr>
        <w:pStyle w:val="Heading2"/>
      </w:pPr>
      <w:r>
        <w:t>5.1 Members</w:t>
      </w:r>
    </w:p>
    <w:p>
      <w:r>
        <w:t xml:space="preserve">Use </w:t>
      </w:r>
      <w:r>
        <w:rPr>
          <w:b/>
        </w:rPr>
        <w:t>Members</w:t>
      </w:r>
      <w:r>
        <w:t xml:space="preserve"> to search current and waiting users, inspect account details, approve membership, activate/deactivate access, or remove membership.</w:t>
      </w:r>
    </w:p>
    <w:p>
      <w:r>
        <w:t>Removing Team membership must remove access to that Team's Agents, Data Groups, and integrations. It does not necessarily delete the global user identity.</w:t>
      </w:r>
    </w:p>
    <w:p>
      <w:pPr>
        <w:pStyle w:val="Heading2"/>
      </w:pPr>
      <w:r>
        <w:t>5.2 Roles &amp; permissions</w:t>
      </w:r>
    </w:p>
    <w:p>
      <w:r>
        <w:t xml:space="preserve">The page contains </w:t>
      </w:r>
      <w:r>
        <w:rPr>
          <w:b/>
        </w:rPr>
        <w:t>Role Preset</w:t>
      </w:r>
      <w:r>
        <w:t xml:space="preserve"> and </w:t>
      </w:r>
      <w:r>
        <w:rPr>
          <w:b/>
        </w:rPr>
        <w:t>User Permission</w:t>
      </w:r>
      <w:r>
        <w:t xml:space="preserve"> views.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Role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Reusable Team role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Knowledge Curator</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System Permissions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Organization-level permissions; use sparingly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None for a Team-only role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Team Permissions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Actions allowed inside the Team</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Manage team data groups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Member receiving the preset or custom permissions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alex@example.com</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Role preset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Reusable role selection; Custom allows direct choices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Knowledge Curator</w:t>
            </w:r>
          </w:p>
        </w:tc>
      </w:tr>
    </w:tbl>
    <w:p>
      <w:pPr>
        <w:spacing w:after="0"/>
      </w:pPr>
    </w:p>
    <w:p>
      <w:r>
        <w:t>Security-sensitive examples:</w:t>
      </w:r>
    </w:p>
    <w:p>
      <w:pPr>
        <w:pStyle w:val="ListBullet"/>
      </w:pPr>
      <w:r>
        <w:t>A content curator may manage Team Data Groups but should not manage LLM</w:t>
      </w:r>
    </w:p>
    <w:p>
      <w:r>
        <w:t>provider secrets.</w:t>
      </w:r>
    </w:p>
    <w:p>
      <w:pPr>
        <w:pStyle w:val="ListBullet"/>
      </w:pPr>
      <w:r>
        <w:t>An Agent owner may manage Agents and integrations without becoming System</w:t>
      </w:r>
    </w:p>
    <w:p>
      <w:r>
        <w:t>Admin.</w:t>
      </w:r>
    </w:p>
    <w:p>
      <w:pPr>
        <w:pStyle w:val="ListBullet"/>
      </w:pPr>
      <w:r>
        <w:t>Dashboard permissions should match the allowed personal, Team, or System</w:t>
      </w:r>
    </w:p>
    <w:p>
      <w:r>
        <w:t>reporting scope.</w:t>
      </w:r>
    </w:p>
    <w:p>
      <w:pPr>
        <w:pStyle w:val="Heading2"/>
      </w:pPr>
      <w:r>
        <w:t>5.3 Data access</w:t>
      </w:r>
    </w:p>
    <w:p>
      <w:r>
        <w:t>Data Groups are retrieval authorization boundaries.</w:t>
      </w:r>
    </w:p>
    <w:tbl>
      <w:tblPr>
        <w:tblStyle w:val="TableGrid"/>
        <w:tblW w:type="auto" w:w="0"/>
        <w:tblLayout w:type="autofit"/>
        <w:tblLook w:firstColumn="1" w:firstRow="1" w:lastColumn="0" w:lastRow="0" w:noHBand="0" w:noVBand="1" w:val="04A0"/>
      </w:tblPr>
      <w:tblGrid>
        <w:gridCol w:w="2437"/>
        <w:gridCol w:w="2437"/>
        <w:gridCol w:w="2437"/>
        <w:gridCol w:w="2437"/>
      </w:tblGrid>
      <w:tr>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Required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 Group Name</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Yes</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Human-readable Knowledge group</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Presale Knowledge</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Access mode</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Yes</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b/>
                <w:sz w:val="17"/>
              </w:rPr>
              <w:t>Entire team</w:t>
            </w:r>
            <w:r>
              <w:rPr>
                <w:sz w:val="17"/>
              </w:rPr>
              <w:t xml:space="preserve"> or </w:t>
            </w:r>
            <w:r>
              <w:rPr>
                <w:b/>
                <w:sz w:val="17"/>
              </w:rPr>
              <w:t>Selected users only</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Selected users only</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Selected users</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Conditional</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Users allowed when selected-user mode is used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alex@example.com</w:t>
            </w:r>
          </w:p>
        </w:tc>
      </w:tr>
    </w:tbl>
    <w:p>
      <w:pPr>
        <w:spacing w:after="0"/>
      </w:pPr>
    </w:p>
    <w:p>
      <w:r>
        <w:t>Changing Data Group access affects future retrieval authorization. Do not move a sensitive document into a broader group merely to make search easier.</w:t>
      </w:r>
    </w:p>
    <w:p>
      <w:r>
        <w:br w:type="page"/>
      </w:r>
    </w:p>
    <w:p>
      <w:pPr>
        <w:pStyle w:val="Heading1"/>
      </w:pPr>
      <w:r>
        <w:t>6. Agents</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4</w:t>
              <w:br/>
              <w:br/>
              <w:t>Agent configuration</w:t>
              <w:br/>
              <w:br/>
            </w:r>
            <w:r>
              <w:rPr>
                <w:i/>
                <w:color w:val="666666"/>
                <w:sz w:val="18"/>
              </w:rPr>
              <w:t>Capture Agent Info and Integrations tabs with a safe example Agent and no prompt containing customer data.</w:t>
            </w:r>
          </w:p>
        </w:tc>
      </w:tr>
    </w:tbl>
    <w:p>
      <w:pPr>
        <w:jc w:val="center"/>
      </w:pPr>
      <w:r>
        <w:rPr>
          <w:i/>
          <w:color w:val="666666"/>
          <w:sz w:val="18"/>
        </w:rPr>
        <w:t>Figure 4 — Agent configuration</w:t>
      </w:r>
    </w:p>
    <w:p>
      <w:r>
        <w:t xml:space="preserve">Use </w:t>
      </w:r>
      <w:r>
        <w:rPr>
          <w:b/>
        </w:rPr>
        <w:t>AI workspace → Agents</w:t>
      </w:r>
      <w:r>
        <w:t xml:space="preserve"> to search, create, edit, activate, and delete Team Agents. Save a new Agent before assigning integrations.</w:t>
      </w:r>
    </w:p>
    <w:p>
      <w:pPr>
        <w:pStyle w:val="Heading2"/>
      </w:pPr>
      <w:r>
        <w:t>6.1 Agent Info fields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 / guidance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User-facing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Azure Engineer</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LLM Profile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Managed provider/model or System default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Azure Production · GPT-4.1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 Runtime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Legacy</w:t>
            </w:r>
            <w:r>
              <w:rPr>
                <w:sz w:val="17"/>
              </w:rPr>
              <w:t xml:space="preserve"> or </w:t>
            </w:r>
            <w:r>
              <w:rPr>
                <w:rFonts w:ascii="Consolas" w:hAnsi="Consolas"/>
                <w:color w:val="505050"/>
                <w:sz w:val="17"/>
              </w:rPr>
              <w:t>LangGraph (Tools / MCP)</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 LangGraph for tool execution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 image input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Allows images when the model supports vision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Enabled for architecture review</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 document attachments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Allows temporary document retrieval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Enabled for policy analysis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Temperature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Response variability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0.1</w:t>
            </w:r>
            <w:r>
              <w:rPr>
                <w:sz w:val="17"/>
              </w:rPr>
              <w:t xml:space="preserve"> for factual inventory work</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Optional deterministic sampling hint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42</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Min Search Score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Minimum Knowledge result score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Validate with representative data</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Max Search Results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Maximum Knowledge items supplied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5</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Max Tokens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Maximum answer tokens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4096</w:t>
            </w:r>
          </w:p>
        </w:tc>
      </w:tr>
    </w:tbl>
    <w:p>
      <w:pPr>
        <w:spacing w:after="0"/>
      </w:pPr>
    </w:p>
    <w:p>
      <w:pPr>
        <w:pStyle w:val="Heading2"/>
      </w:pPr>
      <w:r>
        <w:t>6.2 Prompt fields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Purpose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Role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Defines professional identity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You are an Azure infrastructure reviewer.</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Task</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Defines primary responsibilities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Inventory Azure resources and explain architecture risks.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Detail Context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Adds environment and decision context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Prefer read-only operations and distinguish observed from inferred relationships.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Output Format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Defines response structure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Return summary, findings table, risks, and recommended actions.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Constraints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Defines mandatory boundaries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Never provision, delete, or modify resources without explicit approval.</w:t>
            </w:r>
          </w:p>
        </w:tc>
      </w:tr>
    </w:tbl>
    <w:p>
      <w:pPr>
        <w:spacing w:after="0"/>
      </w:pPr>
    </w:p>
    <w:p>
      <w:r>
        <w:t>Do not place credentials, tokens, copied customer data, or mutable connection details in Agent prompts. Use the encrypted provider/integration configuration.</w:t>
      </w:r>
    </w:p>
    <w:p>
      <w:pPr>
        <w:pStyle w:val="Heading2"/>
      </w:pPr>
      <w:r>
        <w:t>6.3 Knowledge Search and delegation</w:t>
      </w:r>
    </w:p>
    <w:p>
      <w:r>
        <w:rPr>
          <w:b/>
        </w:rPr>
        <w:t>Knowledge Search (RAG)</w:t>
      </w:r>
      <w:r>
        <w:t xml:space="preserve"> modes:</w:t>
      </w:r>
    </w:p>
    <w:p>
      <w:pPr>
        <w:pStyle w:val="ListBullet"/>
      </w:pPr>
      <w:r>
        <w:rPr>
          <w:b/>
        </w:rPr>
        <w:t>Auto — model decides</w:t>
      </w:r>
      <w:r>
        <w:t>;</w:t>
      </w:r>
    </w:p>
    <w:p>
      <w:pPr>
        <w:pStyle w:val="ListBullet"/>
      </w:pPr>
      <w:r>
        <w:rPr>
          <w:b/>
        </w:rPr>
        <w:t>Always search — Legacy-like</w:t>
      </w:r>
      <w:r>
        <w:t>; or</w:t>
      </w:r>
    </w:p>
    <w:p>
      <w:pPr>
        <w:pStyle w:val="ListBullet"/>
      </w:pPr>
      <w:r>
        <w:rPr>
          <w:b/>
        </w:rPr>
        <w:t>Disabled</w:t>
      </w:r>
      <w:r>
        <w:t xml:space="preserve"> — the Knowledge tool schema is not sent.</w:t>
      </w:r>
    </w:p>
    <w:p>
      <w:r>
        <w:t xml:space="preserve">When sub-agents are enabled, select only approved Agents in the same Team and set </w:t>
      </w:r>
      <w:r>
        <w:rPr>
          <w:b/>
        </w:rPr>
        <w:t>Maximum Delegation Depth</w:t>
      </w:r>
      <w:r>
        <w:t xml:space="preserve"> conservatively. Tool-call and delegation limits protect against loops and unexpected cost.</w:t>
      </w:r>
    </w:p>
    <w:p>
      <w:pPr>
        <w:pStyle w:val="Heading2"/>
      </w:pPr>
      <w:r>
        <w:t>6.4 Agent guardrails and tool policy</w:t>
      </w:r>
    </w:p>
    <w:p>
      <w:r>
        <w:t>Agent-level controls include maximum input characters, prompt injection, secrets in input/output, PII input/output, unsafe content, blocked phrases, blocked tool names, and blocked tool-source prefixes.</w:t>
      </w:r>
    </w:p>
    <w:p>
      <w:r>
        <w:t xml:space="preserve">Typical actions are </w:t>
      </w:r>
      <w:r>
        <w:rPr>
          <w:b/>
        </w:rPr>
        <w:t>Block</w:t>
      </w:r>
      <w:r>
        <w:t xml:space="preserve">, </w:t>
      </w:r>
      <w:r>
        <w:rPr>
          <w:b/>
        </w:rPr>
        <w:t>Redact</w:t>
      </w:r>
      <w:r>
        <w:t xml:space="preserve">, </w:t>
      </w:r>
      <w:r>
        <w:rPr>
          <w:b/>
        </w:rPr>
        <w:t>Audit only</w:t>
      </w:r>
      <w:r>
        <w:t xml:space="preserve">, and </w:t>
      </w:r>
      <w:r>
        <w:rPr>
          <w:b/>
        </w:rPr>
        <w:t>Allow</w:t>
      </w:r>
      <w:r>
        <w:t>. An Agent policy cannot weaken an enforced parent System or Team policy.</w:t>
      </w:r>
    </w:p>
    <w:p>
      <w:pPr>
        <w:pStyle w:val="Heading2"/>
      </w:pPr>
      <w:r>
        <w:t>6.5 Integrations tab</w:t>
      </w:r>
    </w:p>
    <w:p>
      <w:r>
        <w:t>Assignments are grouped into REST APIs, Databases, Mail, Documents, Messaging, MCP, and Visualization. Only assign capabilities required by the Agent.</w:t>
      </w:r>
    </w:p>
    <w:p>
      <w:r>
        <w:t xml:space="preserve">For a new Agent, enter </w:t>
      </w:r>
      <w:r>
        <w:rPr>
          <w:b/>
        </w:rPr>
        <w:t>Agent Name</w:t>
      </w:r>
      <w:r>
        <w:t xml:space="preserve"> and select </w:t>
      </w:r>
      <w:r>
        <w:rPr>
          <w:b/>
        </w:rPr>
        <w:t>Integrations</w:t>
      </w:r>
      <w:r>
        <w:t xml:space="preserve">. NexoraAI automatically creates a private draft so integration bindings have a stable Agent ID. The draft appears only in </w:t>
      </w:r>
      <w:r>
        <w:rPr>
          <w:b/>
        </w:rPr>
        <w:t>Agent Management</w:t>
      </w:r>
      <w:r>
        <w:t xml:space="preserve"> with a </w:t>
      </w:r>
      <w:r>
        <w:rPr>
          <w:b/>
        </w:rPr>
        <w:t>Draft</w:t>
      </w:r>
      <w:r>
        <w:t xml:space="preserve"> badge; it cannot be selected in Chat, delegated to, or published to Agent Catalog. Select </w:t>
      </w:r>
      <w:r>
        <w:rPr>
          <w:b/>
        </w:rPr>
        <w:t>Finish setup</w:t>
      </w:r>
      <w:r>
        <w:t xml:space="preserve"> to save the latest Agent fields and activate it, or </w:t>
      </w:r>
      <w:r>
        <w:rPr>
          <w:b/>
        </w:rPr>
        <w:t>Cancel setup</w:t>
      </w:r>
      <w:r>
        <w:t xml:space="preserve"> to immediately remove the draft and all of its bindings. Abandoned drafts expire after 24 hours by default and are removed by the background cleanup worker. Operators may set </w:t>
      </w:r>
      <w:r>
        <w:rPr>
          <w:rFonts w:ascii="Consolas" w:hAnsi="Consolas"/>
          <w:color w:val="505050"/>
          <w:sz w:val="18"/>
        </w:rPr>
        <w:t>AGENT_DRAFT_RETENTION_HOURS</w:t>
      </w:r>
      <w:r>
        <w:t xml:space="preserve"> (1–168) and </w:t>
      </w:r>
      <w:r>
        <w:rPr>
          <w:rFonts w:ascii="Consolas" w:hAnsi="Consolas"/>
          <w:color w:val="505050"/>
          <w:sz w:val="18"/>
        </w:rPr>
        <w:t>AGENT_DRAFT_CLEANUP_INTERVAL_SECONDS</w:t>
      </w:r>
      <w:r>
        <w:t xml:space="preserve"> (minimum 60).</w:t>
      </w:r>
    </w:p>
    <w:p>
      <w:r>
        <w:t>For MCP Agents configure:</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Recommended value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Invocation Mode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Auto calls when relevant; Required calls an assigned MCP first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Auto</w:t>
            </w:r>
            <w:r>
              <w:rPr>
                <w:sz w:val="17"/>
              </w:rPr>
              <w:t xml:space="preserve"> for general Agents; </w:t>
            </w:r>
            <w:r>
              <w:rPr>
                <w:rFonts w:ascii="Consolas" w:hAnsi="Consolas"/>
                <w:color w:val="505050"/>
                <w:sz w:val="17"/>
              </w:rPr>
              <w:t>Required</w:t>
            </w:r>
            <w:r>
              <w:rPr>
                <w:sz w:val="17"/>
              </w:rPr>
              <w:t xml:space="preserve"> for dedicated inventory Agents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 MCP Timeout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Agent-level maximum execution time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Lower than the overall request timeout</w:t>
            </w:r>
          </w:p>
        </w:tc>
      </w:tr>
    </w:tbl>
    <w:p>
      <w:pPr>
        <w:spacing w:after="0"/>
      </w:pPr>
    </w:p>
    <w:p>
      <w:r>
        <w:br w:type="page"/>
      </w:r>
    </w:p>
    <w:p>
      <w:pPr>
        <w:pStyle w:val="Heading1"/>
      </w:pPr>
      <w:r>
        <w:t>7. Unified integrations</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5</w:t>
              <w:br/>
              <w:br/>
              <w:t>Configured connections and Browse catalog</w:t>
              <w:br/>
              <w:br/>
            </w:r>
            <w:r>
              <w:rPr>
                <w:i/>
                <w:color w:val="666666"/>
                <w:sz w:val="18"/>
              </w:rPr>
              <w:t>Capture both tabs and connection-type filters; hide URLs, tenant IDs, and identifiers.</w:t>
            </w:r>
          </w:p>
        </w:tc>
      </w:tr>
    </w:tbl>
    <w:p>
      <w:pPr>
        <w:jc w:val="center"/>
      </w:pPr>
      <w:r>
        <w:rPr>
          <w:i/>
          <w:color w:val="666666"/>
          <w:sz w:val="18"/>
        </w:rPr>
        <w:t>Figure 5 — Configured connections and Browse catalog</w:t>
      </w:r>
    </w:p>
    <w:p>
      <w:r>
        <w:rPr>
          <w:b/>
        </w:rPr>
        <w:t>Team integrations</w:t>
      </w:r>
      <w:r>
        <w:t xml:space="preserve"> and </w:t>
      </w:r>
      <w:r>
        <w:rPr>
          <w:b/>
        </w:rPr>
        <w:t>Integration catalog</w:t>
      </w:r>
      <w:r>
        <w:t xml:space="preserve"> present Native and MCP connections in one experience. Use:</w:t>
      </w:r>
    </w:p>
    <w:p>
      <w:pPr>
        <w:pStyle w:val="ListBullet"/>
      </w:pPr>
      <w:r>
        <w:rPr>
          <w:b/>
        </w:rPr>
        <w:t>Configured connections</w:t>
      </w:r>
      <w:r>
        <w:t xml:space="preserve"> to search/filter existing connections; and</w:t>
      </w:r>
    </w:p>
    <w:p>
      <w:pPr>
        <w:pStyle w:val="ListBullet"/>
      </w:pPr>
      <w:r>
        <w:rPr>
          <w:b/>
        </w:rPr>
        <w:t>Browse catalog</w:t>
      </w:r>
      <w:r>
        <w:t xml:space="preserve"> to add a supported connection.</w:t>
      </w:r>
    </w:p>
    <w:p>
      <w:r>
        <w:t xml:space="preserve">The connection type filter supports </w:t>
      </w:r>
      <w:r>
        <w:rPr>
          <w:b/>
        </w:rPr>
        <w:t>All</w:t>
      </w:r>
      <w:r>
        <w:t xml:space="preserve">, </w:t>
      </w:r>
      <w:r>
        <w:rPr>
          <w:b/>
        </w:rPr>
        <w:t>MCP</w:t>
      </w:r>
      <w:r>
        <w:t xml:space="preserve">, and </w:t>
      </w:r>
      <w:r>
        <w:rPr>
          <w:b/>
        </w:rPr>
        <w:t>Native</w:t>
      </w:r>
      <w:r>
        <w:t>. A System Admin may create an unassigned connection and then assign it to exactly one Team. Connections, credentials, and Agent assignments remain Team-scoped.</w:t>
      </w:r>
    </w:p>
    <w:p>
      <w:pPr>
        <w:pStyle w:val="Heading2"/>
      </w:pPr>
      <w:r>
        <w:t>7.1 MCP common fields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Server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Friendly connection name; multiple tenants may use separate names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Datadog Production EU</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Category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Catalog grouping</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Observability</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Streamable HTTP URL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Reachable MCP endpoint from the app container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https://mcp.example.com/mcp</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Allowed Tools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Comma-separated allowlist; blank allows discovered tools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subscription_list,group_list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Operation Mode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Read only or Read / Write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Start with </w:t>
            </w:r>
            <w:r>
              <w:rPr>
                <w:rFonts w:ascii="Consolas" w:hAnsi="Consolas"/>
                <w:color w:val="505050"/>
                <w:sz w:val="17"/>
              </w:rPr>
              <w:t>Read only</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Headers JSON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Additional encrypted HTTP headers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{"X-Tenant":"team-a"}</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Timeout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Per-server request timeout in seconds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30</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Makes the connection eligible for Agent assignment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Enabled after Test succeeds</w:t>
            </w:r>
          </w:p>
        </w:tc>
      </w:tr>
    </w:tbl>
    <w:p>
      <w:pPr>
        <w:spacing w:after="0"/>
      </w:pPr>
    </w:p>
    <w:p>
      <w:r>
        <w:t xml:space="preserve">Use </w:t>
      </w:r>
      <w:r>
        <w:rPr>
          <w:b/>
        </w:rPr>
        <w:t>Test</w:t>
      </w:r>
      <w:r>
        <w:t xml:space="preserve"> and inspect discovered tools before assigning the connection.</w:t>
      </w:r>
    </w:p>
    <w:p>
      <w:pPr>
        <w:pStyle w:val="Heading2"/>
      </w:pPr>
      <w:r>
        <w:t>7.2 Datadog MCP</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Datadog Site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Tenant region/site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EU (datadoghq.eu)</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Datadog Toolsets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Comma-separated server toolsets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core,synthetics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Authentication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PAT/SAT or API Key + Application Key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PAT/SAT recommended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PAT / SAT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Datadog personal/service access token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 never document the value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API Key / Application Key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Alternative Datadog credentials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w:t>
            </w:r>
          </w:p>
        </w:tc>
      </w:tr>
    </w:tbl>
    <w:p>
      <w:pPr>
        <w:spacing w:after="0"/>
      </w:pPr>
    </w:p>
    <w:p>
      <w:r>
        <w:t>Create a separate connection for each Datadog tenant and assign it only to the appropriate Team.</w:t>
      </w:r>
    </w:p>
    <w:p>
      <w:pPr>
        <w:pStyle w:val="Heading2"/>
      </w:pPr>
      <w:r>
        <w:t>7.3 Azure MCP</w:t>
      </w:r>
    </w:p>
    <w:p>
      <w:r>
        <w:t xml:space="preserve">For </w:t>
      </w:r>
      <w:r>
        <w:rPr>
          <w:b/>
        </w:rPr>
        <w:t>Managed on-prem container</w:t>
      </w:r>
      <w:r>
        <w:t>:</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Source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Tenant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Entra ID → Overview → Tenant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UUID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Client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 registration → Application (client)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UUID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Client Secret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App registration secret </w:t>
            </w:r>
            <w:r>
              <w:rPr>
                <w:b/>
                <w:sz w:val="17"/>
              </w:rPr>
              <w:t>Value</w:t>
            </w:r>
            <w:r>
              <w:rPr>
                <w:sz w:val="17"/>
              </w:rPr>
              <w:t>, not Secret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Subscription IDs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Subscriptions accessible to this Team, comma-separated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sub-id-1,sub-id-2</w:t>
            </w:r>
          </w:p>
        </w:tc>
      </w:tr>
    </w:tbl>
    <w:p>
      <w:pPr>
        <w:spacing w:after="0"/>
      </w:pPr>
    </w:p>
    <w:p>
      <w:r>
        <w:t xml:space="preserve">Grant the Service Principal the minimum required Azure RBAC role. Use </w:t>
      </w:r>
      <w:r>
        <w:rPr>
          <w:b/>
        </w:rPr>
        <w:t>Reader</w:t>
      </w:r>
      <w:r>
        <w:t xml:space="preserve"> at the required subscription/resource-group scope for inventory-only workflows.</w:t>
      </w:r>
    </w:p>
    <w:p>
      <w:r>
        <w:t xml:space="preserve">For an </w:t>
      </w:r>
      <w:r>
        <w:rPr>
          <w:b/>
        </w:rPr>
        <w:t>Existing remote Azure MCP server (advanced)</w:t>
      </w:r>
      <w:r>
        <w:t xml:space="preserve">, additional fields can include Nexora OAuth Client ID, Nexora OAuth Client Secret, and OAuth Scope such as </w:t>
      </w:r>
      <w:r>
        <w:rPr>
          <w:rFonts w:ascii="Consolas" w:hAnsi="Consolas"/>
          <w:color w:val="505050"/>
          <w:sz w:val="18"/>
        </w:rPr>
        <w:t>api://&lt;remote-mcp-app-id&gt;/.default</w:t>
      </w:r>
      <w:r>
        <w:t>.</w:t>
      </w:r>
    </w:p>
    <w:p>
      <w:r>
        <w:t xml:space="preserve">See </w:t>
      </w:r>
      <w:hyperlink r:id="rId12">
        <w:r>
          <w:rPr>
            <w:color w:val="0563C1"/>
            <w:u w:val="single"/>
          </w:rPr>
          <w:t>Azure inventory to Draw.io</w:t>
        </w:r>
      </w:hyperlink>
      <w:r>
        <w:t>.</w:t>
      </w:r>
    </w:p>
    <w:p>
      <w:pPr>
        <w:pStyle w:val="Heading2"/>
      </w:pPr>
      <w:r>
        <w:t>7.4 Draw.io MCP</w:t>
      </w:r>
    </w:p>
    <w:p>
      <w:r>
        <w:t xml:space="preserve">Use the official hosted Streamable HTTP endpoint when approved by the organization. Test tool discovery before assigning it. A diagram Agent should distinguish real resource relationships from inferred connections and return a downloadable </w:t>
      </w:r>
      <w:r>
        <w:rPr>
          <w:rFonts w:ascii="Consolas" w:hAnsi="Consolas"/>
          <w:color w:val="505050"/>
          <w:sz w:val="18"/>
        </w:rPr>
        <w:t>.drawio</w:t>
      </w:r>
      <w:r>
        <w:t xml:space="preserve"> artifact.</w:t>
      </w:r>
    </w:p>
    <w:p>
      <w:pPr>
        <w:pStyle w:val="Heading2"/>
      </w:pPr>
      <w:r>
        <w:t>7.5 Native business integrations</w:t>
      </w:r>
    </w:p>
    <w:p>
      <w:r>
        <w:t>Supported connection families include REST APIs, read-only Databases, Mail, Business Documents, and Messaging.</w:t>
      </w:r>
    </w:p>
    <w:p>
      <w:pPr>
        <w:pStyle w:val="ListBullet"/>
      </w:pPr>
      <w:r>
        <w:t>REST: name, base URL, authentication, endpoints, request/response fields.</w:t>
      </w:r>
    </w:p>
    <w:p>
      <w:pPr>
        <w:pStyle w:val="ListBullet"/>
      </w:pPr>
      <w:r>
        <w:t>Database: provider/driver, host, port, database, encrypted credentials, and a</w:t>
      </w:r>
    </w:p>
    <w:p>
      <w:r>
        <w:t>read-only query profile.</w:t>
      </w:r>
    </w:p>
    <w:p>
      <w:pPr>
        <w:pStyle w:val="ListBullet"/>
      </w:pPr>
      <w:r>
        <w:t>Mail: provider, mailbox, OAuth or IMAP/POP3/SMTP settings, and read/send Agent</w:t>
      </w:r>
    </w:p>
    <w:p>
      <w:r>
        <w:t>permissions.</w:t>
      </w:r>
    </w:p>
    <w:p>
      <w:pPr>
        <w:pStyle w:val="ListBullet"/>
      </w:pPr>
      <w:r>
        <w:t>Documents: Microsoft 365 or Google Workspace identity and approved document</w:t>
      </w:r>
    </w:p>
    <w:p>
      <w:r>
        <w:t>scopes.</w:t>
      </w:r>
    </w:p>
    <w:p>
      <w:pPr>
        <w:pStyle w:val="ListBullet"/>
      </w:pPr>
      <w:r>
        <w:t>Messaging: LINE, Slack, or Discord target plus encrypted token/webhook.</w:t>
      </w:r>
    </w:p>
    <w:p>
      <w:r>
        <w:t>Provider-specific instructions:</w:t>
      </w:r>
    </w:p>
    <w:p>
      <w:pPr>
        <w:pStyle w:val="ListBullet"/>
      </w:pPr>
      <w:hyperlink r:id="rId13">
        <w:r>
          <w:rPr>
            <w:color w:val="0563C1"/>
            <w:u w:val="single"/>
          </w:rPr>
          <w:t>Database integrations</w:t>
        </w:r>
      </w:hyperlink>
    </w:p>
    <w:p>
      <w:pPr>
        <w:pStyle w:val="ListBullet"/>
      </w:pPr>
      <w:hyperlink r:id="rId14">
        <w:r>
          <w:rPr>
            <w:color w:val="0563C1"/>
            <w:u w:val="single"/>
          </w:rPr>
          <w:t>Mail integrations</w:t>
        </w:r>
      </w:hyperlink>
    </w:p>
    <w:p>
      <w:pPr>
        <w:pStyle w:val="ListBullet"/>
      </w:pPr>
      <w:hyperlink r:id="rId15">
        <w:r>
          <w:rPr>
            <w:color w:val="0563C1"/>
            <w:u w:val="single"/>
          </w:rPr>
          <w:t>Business document integrations</w:t>
        </w:r>
      </w:hyperlink>
    </w:p>
    <w:p>
      <w:pPr>
        <w:pStyle w:val="ListBullet"/>
      </w:pPr>
      <w:hyperlink r:id="rId16">
        <w:r>
          <w:rPr>
            <w:color w:val="0563C1"/>
            <w:u w:val="single"/>
          </w:rPr>
          <w:t>Messaging integrations</w:t>
        </w:r>
      </w:hyperlink>
    </w:p>
    <w:p>
      <w:pPr>
        <w:pStyle w:val="ListBullet"/>
      </w:pPr>
      <w:hyperlink r:id="rId17">
        <w:r>
          <w:rPr>
            <w:color w:val="0563C1"/>
            <w:u w:val="single"/>
          </w:rPr>
          <w:t>Jira, Confluence, and ServiceNow MCP</w:t>
        </w:r>
      </w:hyperlink>
    </w:p>
    <w:p>
      <w:r>
        <w:br w:type="page"/>
      </w:r>
    </w:p>
    <w:p>
      <w:pPr>
        <w:pStyle w:val="Heading1"/>
      </w:pPr>
      <w:r>
        <w:t>8. Governance</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6</w:t>
              <w:br/>
              <w:br/>
              <w:t>Governance controls</w:t>
              <w:br/>
              <w:br/>
            </w:r>
            <w:r>
              <w:rPr>
                <w:i/>
                <w:color w:val="666666"/>
                <w:sz w:val="18"/>
              </w:rPr>
              <w:t>Capture Guardrail policy, Usage quotas, or Chat history retention with safe example values.</w:t>
            </w:r>
          </w:p>
        </w:tc>
      </w:tr>
    </w:tbl>
    <w:p>
      <w:pPr>
        <w:jc w:val="center"/>
      </w:pPr>
      <w:r>
        <w:rPr>
          <w:i/>
          <w:color w:val="666666"/>
          <w:sz w:val="18"/>
        </w:rPr>
        <w:t>Figure 6 — Governance controls</w:t>
      </w:r>
    </w:p>
    <w:p>
      <w:pPr>
        <w:pStyle w:val="Heading2"/>
      </w:pPr>
      <w:r>
        <w:t>8.1 Guardrail policy</w:t>
      </w:r>
    </w:p>
    <w:tbl>
      <w:tblPr>
        <w:tblStyle w:val="TableGrid"/>
        <w:tblW w:type="auto" w:w="0"/>
        <w:tblLayout w:type="autofit"/>
        <w:tblLook w:firstColumn="1" w:firstRow="1" w:lastColumn="0" w:lastRow="0" w:noHBand="0" w:noVBand="1" w:val="04A0"/>
      </w:tblPr>
      <w:tblGrid>
        <w:gridCol w:w="4874"/>
        <w:gridCol w:w="4874"/>
      </w:tblGrid>
      <w:tr>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Policy enabled</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Activates the policy at the selected level</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Maximum Input Characters</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Rejects oversized input before model execution</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Prompt Injection</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Block, Audit only, or Allow</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Secrets in Input</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Block, Audit only, or Allow</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Secrets in Output</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Redact, Block response, Audit only, or Allow</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PII in Input/Output</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Applies the configured PII action</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Unsafe Content in Input/Output</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Applies deterministic content controls</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Blocked Phrases</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Optional comma-separated literal phrases; case-insensitive</w:t>
            </w:r>
          </w:p>
        </w:tc>
      </w:tr>
    </w:tbl>
    <w:p>
      <w:pPr>
        <w:spacing w:after="0"/>
      </w:pPr>
    </w:p>
    <w:p>
      <w:r>
        <w:t>Start with Audit only only when measuring false positives in a controlled environment. Do not allow a lower-level policy to weaken mandatory controls.</w:t>
      </w:r>
    </w:p>
    <w:p>
      <w:pPr>
        <w:pStyle w:val="Heading2"/>
      </w:pPr>
      <w:r>
        <w:t>8.2 Usage quotas</w:t>
      </w:r>
    </w:p>
    <w:p>
      <w:r>
        <w:t xml:space="preserve">Choose </w:t>
      </w:r>
      <w:r>
        <w:rPr>
          <w:b/>
        </w:rPr>
        <w:t>Configure level</w:t>
      </w:r>
      <w:r>
        <w:t>:</w:t>
      </w:r>
    </w:p>
    <w:p>
      <w:pPr>
        <w:pStyle w:val="ListBullet"/>
      </w:pPr>
      <w:r>
        <w:t>Entire system;</w:t>
      </w:r>
    </w:p>
    <w:p>
      <w:pPr>
        <w:pStyle w:val="ListBullet"/>
      </w:pPr>
      <w:r>
        <w:t>Current Team;</w:t>
      </w:r>
    </w:p>
    <w:p>
      <w:pPr>
        <w:pStyle w:val="ListBullet"/>
      </w:pPr>
      <w:r>
        <w:t>Global user ceiling; or</w:t>
      </w:r>
    </w:p>
    <w:p>
      <w:pPr>
        <w:pStyle w:val="ListBullet"/>
      </w:pPr>
      <w:r>
        <w:t>Specific member override.</w:t>
      </w:r>
    </w:p>
    <w:p>
      <w:r>
        <w:t xml:space="preserve">Core fields include policy enabled, monthly LLM tokens, monthly tokens per user, monthly document pages, and LLM requests per minute. Optional provider/profile rules select </w:t>
      </w:r>
      <w:r>
        <w:rPr>
          <w:b/>
        </w:rPr>
        <w:t>Limit by</w:t>
      </w:r>
      <w:r>
        <w:t>, Provider or Model profile, Workload (</w:t>
      </w:r>
      <w:r>
        <w:rPr>
          <w:rFonts w:ascii="Consolas" w:hAnsi="Consolas"/>
          <w:color w:val="505050"/>
          <w:sz w:val="18"/>
        </w:rPr>
        <w:t>All requests</w:t>
      </w:r>
      <w:r>
        <w:t xml:space="preserve">, </w:t>
      </w:r>
      <w:r>
        <w:rPr>
          <w:rFonts w:ascii="Consolas" w:hAnsi="Consolas"/>
          <w:color w:val="505050"/>
          <w:sz w:val="18"/>
        </w:rPr>
        <w:t>Chat</w:t>
      </w:r>
      <w:r>
        <w:t xml:space="preserve">, or </w:t>
      </w:r>
      <w:r>
        <w:rPr>
          <w:rFonts w:ascii="Consolas" w:hAnsi="Consolas"/>
          <w:color w:val="505050"/>
          <w:sz w:val="18"/>
        </w:rPr>
        <w:t>Ask</w:t>
      </w:r>
      <w:r>
        <w:t>), and Monthly tokens.</w:t>
      </w:r>
    </w:p>
    <w:p>
      <w:r>
        <w:t>Example Team policy:</w:t>
      </w:r>
    </w:p>
    <w:tbl>
      <w:tblPr>
        <w:tblStyle w:val="TableGrid"/>
        <w:tblW w:type="auto" w:w="0"/>
        <w:tblLayout w:type="autofit"/>
        <w:tblLook w:firstColumn="1" w:firstRow="1" w:lastColumn="0" w:lastRow="0" w:noHBand="0" w:noVBand="1" w:val="04A0"/>
      </w:tblPr>
      <w:tblGrid>
        <w:gridCol w:w="4874"/>
        <w:gridCol w:w="4874"/>
      </w:tblGrid>
      <w:tr>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Value</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Monthly LLM tokens</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10,000,000</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Monthly tokens per user</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500,000</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Monthly document pages</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20,000</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LLM requests per minute</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30</w:t>
            </w:r>
          </w:p>
        </w:tc>
      </w:tr>
    </w:tbl>
    <w:p>
      <w:pPr>
        <w:spacing w:after="0"/>
      </w:pPr>
    </w:p>
    <w:p>
      <w:r>
        <w:t>A member override replaces the Team per-member default; it does not add more capacity than the Team or System ceiling.</w:t>
      </w:r>
    </w:p>
    <w:p>
      <w:pPr>
        <w:pStyle w:val="Heading2"/>
      </w:pPr>
      <w:r>
        <w:t>8.3 Chat history retention</w:t>
      </w:r>
    </w:p>
    <w:p>
      <w:r>
        <w:t xml:space="preserve">Choose </w:t>
      </w:r>
      <w:r>
        <w:rPr>
          <w:b/>
        </w:rPr>
        <w:t>Retention period</w:t>
      </w:r>
      <w:r>
        <w:t>. Supported policies include 30, 90, 180, or 365 days, with No expiry available only where the System policy permits it.</w:t>
      </w:r>
    </w:p>
    <w:p>
      <w:pPr>
        <w:pStyle w:val="ListBullet"/>
      </w:pPr>
      <w:r>
        <w:t>Default recommendation: 90 days from last conversation activity.</w:t>
      </w:r>
    </w:p>
    <w:p>
      <w:pPr>
        <w:pStyle w:val="ListBullet"/>
      </w:pPr>
      <w:r>
        <w:t>A Team may select a shorter period than the System maximum, not a longer one.</w:t>
      </w:r>
    </w:p>
    <w:p>
      <w:pPr>
        <w:pStyle w:val="ListBullet"/>
      </w:pPr>
      <w:r>
        <w:t>User Delete removes the conversation immediately.</w:t>
      </w:r>
    </w:p>
    <w:p>
      <w:pPr>
        <w:pStyle w:val="ListBullet"/>
      </w:pPr>
      <w:r>
        <w:t>Scheduled cleanup also removes messages, citations, diagram artifacts, and</w:t>
      </w:r>
    </w:p>
    <w:p>
      <w:r>
        <w:t>attachment objects; audit records contain deletion metadata, not content.</w:t>
      </w:r>
    </w:p>
    <w:p>
      <w:pPr>
        <w:pStyle w:val="Heading2"/>
      </w:pPr>
      <w:r>
        <w:t>8.4 Agent audit</w:t>
      </w:r>
    </w:p>
    <w:p>
      <w:r>
        <w:t>Use Agent audit to investigate controlled metadata such as actor, Agent, tool, action, status, and timestamp. It must not contain raw prompts, tool output, or credentials. Treat audit access as privileged.</w:t>
      </w:r>
    </w:p>
    <w:p>
      <w:r>
        <w:br w:type="page"/>
      </w:r>
    </w:p>
    <w:p>
      <w:pPr>
        <w:pStyle w:val="Heading1"/>
      </w:pPr>
      <w:r>
        <w:t>9. LLM providers</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7</w:t>
              <w:br/>
              <w:br/>
              <w:t>LLM provider configuration</w:t>
              <w:br/>
              <w:br/>
            </w:r>
            <w:r>
              <w:rPr>
                <w:i/>
                <w:color w:val="666666"/>
                <w:sz w:val="18"/>
              </w:rPr>
              <w:t>Capture the provider list and Add/Edit dialog; hide endpoint tenant names and all credentials.</w:t>
            </w:r>
          </w:p>
        </w:tc>
      </w:tr>
    </w:tbl>
    <w:p>
      <w:pPr>
        <w:jc w:val="center"/>
      </w:pPr>
      <w:r>
        <w:rPr>
          <w:i/>
          <w:color w:val="666666"/>
          <w:sz w:val="18"/>
        </w:rPr>
        <w:t>Figure 7 — LLM provider configuration</w:t>
      </w:r>
    </w:p>
    <w:p>
      <w:r>
        <w:t xml:space="preserve">Use </w:t>
      </w:r>
      <w:r>
        <w:rPr>
          <w:b/>
        </w:rPr>
        <w:t>System administration → LLM providers → Add Provider</w:t>
      </w:r>
      <w:r>
        <w:t>.</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Description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Provider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Friendly administrative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Azure OpenAI Production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Provider Type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OpenAI, OpenAI, Gemini, Claude, Ollama, Groq, OpenRouter, Mistral, DeepSeek, Together, vLLM, LocalAI, or compatible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Azure OpenAI</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Endpoint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OpenAI resource endpoint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https://example.openai.azure.com/</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Base URL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OpenAI-compatible API root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http://ollama:11434/v1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API Version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OpenAI API version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2024-10-21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API Key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Encrypted provider credential; blank may use supported identity/local mode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Model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Stable profile identifier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gpt41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Display Label</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Name shown to administrators/users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GPT-4.1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Model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Provider model identifier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gpt-4.1</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Deployment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deployment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gpt41-prod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Tools / Vision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Model capability declarations verified by Test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 only when supported</w:t>
            </w:r>
          </w:p>
        </w:tc>
      </w:tr>
    </w:tbl>
    <w:p>
      <w:pPr>
        <w:spacing w:after="0"/>
      </w:pPr>
    </w:p>
    <w:p>
      <w:r>
        <w:t xml:space="preserve">Select </w:t>
      </w:r>
      <w:r>
        <w:rPr>
          <w:b/>
        </w:rPr>
        <w:t>Test</w:t>
      </w:r>
      <w:r>
        <w:t xml:space="preserve"> for every configured model. Connection success alone does not prove tool calling or vision support. Containerized local providers must use a container-reachable host such as </w:t>
      </w:r>
      <w:r>
        <w:rPr>
          <w:rFonts w:ascii="Consolas" w:hAnsi="Consolas"/>
          <w:color w:val="505050"/>
          <w:sz w:val="18"/>
        </w:rPr>
        <w:t>ollama:11434</w:t>
      </w:r>
      <w:r>
        <w:t xml:space="preserve"> or </w:t>
      </w:r>
      <w:r>
        <w:rPr>
          <w:rFonts w:ascii="Consolas" w:hAnsi="Consolas"/>
          <w:color w:val="505050"/>
          <w:sz w:val="18"/>
        </w:rPr>
        <w:t>host.docker.internal</w:t>
      </w:r>
      <w:r>
        <w:t xml:space="preserve">, not container-local </w:t>
      </w:r>
      <w:r>
        <w:rPr>
          <w:rFonts w:ascii="Consolas" w:hAnsi="Consolas"/>
          <w:color w:val="505050"/>
          <w:sz w:val="18"/>
        </w:rPr>
        <w:t>localhost</w:t>
      </w:r>
      <w:r>
        <w:t xml:space="preserve"> unless the model server runs in that same container.</w:t>
      </w:r>
    </w:p>
    <w:p>
      <w:r>
        <w:t xml:space="preserve">See </w:t>
      </w:r>
      <w:hyperlink r:id="rId18">
        <w:r>
          <w:rPr>
            <w:color w:val="0563C1"/>
            <w:u w:val="single"/>
          </w:rPr>
          <w:t>Runtime and model provider configuration</w:t>
        </w:r>
      </w:hyperlink>
      <w:r>
        <w:t>.</w:t>
      </w:r>
    </w:p>
    <w:p>
      <w:r>
        <w:br w:type="page"/>
      </w:r>
    </w:p>
    <w:p>
      <w:pPr>
        <w:pStyle w:val="Heading1"/>
      </w:pPr>
      <w:r>
        <w:t>10. System health</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8</w:t>
              <w:br/>
              <w:br/>
              <w:t>On-demand System Health</w:t>
              <w:br/>
              <w:br/>
            </w:r>
            <w:r>
              <w:rPr>
                <w:i/>
                <w:color w:val="666666"/>
                <w:sz w:val="18"/>
              </w:rPr>
              <w:t>Capture runtime resources and Core services, including HTTPS gateway · Nginx when TLS is enabled.</w:t>
            </w:r>
          </w:p>
        </w:tc>
      </w:tr>
    </w:tbl>
    <w:p>
      <w:pPr>
        <w:jc w:val="center"/>
      </w:pPr>
      <w:r>
        <w:rPr>
          <w:i/>
          <w:color w:val="666666"/>
          <w:sz w:val="18"/>
        </w:rPr>
        <w:t>Figure 8 — On-demand System Health</w:t>
      </w:r>
    </w:p>
    <w:p>
      <w:r>
        <w:t xml:space="preserve">System Health is on-demand and does not continuously poll. Select </w:t>
      </w:r>
      <w:r>
        <w:rPr>
          <w:b/>
        </w:rPr>
        <w:t>Refresh</w:t>
      </w:r>
      <w:r>
        <w:t xml:space="preserve"> to collect a new snapshot.</w:t>
      </w:r>
    </w:p>
    <w:p>
      <w:r>
        <w:t>It reports:</w:t>
      </w:r>
    </w:p>
    <w:p>
      <w:pPr>
        <w:pStyle w:val="ListBullet"/>
      </w:pPr>
      <w:r>
        <w:t>CPU, memory, disk, process RSS, core/load information;</w:t>
      </w:r>
    </w:p>
    <w:p>
      <w:pPr>
        <w:pStyle w:val="ListBullet"/>
      </w:pPr>
      <w:r>
        <w:t>application, MongoDB, MinIO/Azure Storage, Qdrant/Azure Search, model runtime,</w:t>
      </w:r>
    </w:p>
    <w:p>
      <w:r>
        <w:t>and Integration Controller status;</w:t>
      </w:r>
    </w:p>
    <w:p>
      <w:pPr>
        <w:pStyle w:val="ListBullet"/>
      </w:pPr>
      <w:r>
        <w:rPr>
          <w:b/>
        </w:rPr>
        <w:t>HTTPS gateway · Nginx</w:t>
      </w:r>
      <w:r>
        <w:t xml:space="preserve"> when the TLS overlay is enabled;</w:t>
      </w:r>
    </w:p>
    <w:p>
      <w:pPr>
        <w:pStyle w:val="ListBullet"/>
      </w:pPr>
      <w:r>
        <w:t>integration totals and attention states; and</w:t>
      </w:r>
    </w:p>
    <w:p>
      <w:pPr>
        <w:pStyle w:val="ListBullet"/>
      </w:pPr>
      <w:r>
        <w:t>ingestion/attachment queues, failures, recovery, and cleanup workers.</w:t>
      </w:r>
    </w:p>
    <w:p>
      <w:r>
        <w:rPr>
          <w:rFonts w:ascii="Consolas" w:hAnsi="Consolas"/>
          <w:color w:val="505050"/>
          <w:sz w:val="18"/>
        </w:rPr>
        <w:t>Unavailable</w:t>
      </w:r>
      <w:r>
        <w:t xml:space="preserve"> for a required service degrades the overall status. Azure remote clients may show configured/initialized without performing a costly remote call. System Health cannot alert when the whole application is down; use external monitoring in production. Certificate-expiry monitoring remains pending.</w:t>
      </w:r>
    </w:p>
    <w:p>
      <w:r>
        <w:br w:type="page"/>
      </w:r>
    </w:p>
    <w:p>
      <w:pPr>
        <w:pStyle w:val="Heading1"/>
      </w:pPr>
      <w:r>
        <w:t>11. License</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9</w:t>
              <w:br/>
              <w:br/>
              <w:t>License status</w:t>
              <w:br/>
              <w:br/>
            </w:r>
            <w:r>
              <w:rPr>
                <w:i/>
                <w:color w:val="666666"/>
                <w:sz w:val="18"/>
              </w:rPr>
              <w:t>Capture status, Installation ID with most characters blurred, Trial/license dates, and entitlement chips. Never capture the raw key.</w:t>
            </w:r>
          </w:p>
        </w:tc>
      </w:tr>
    </w:tbl>
    <w:p>
      <w:pPr>
        <w:jc w:val="center"/>
      </w:pPr>
      <w:r>
        <w:rPr>
          <w:i/>
          <w:color w:val="666666"/>
          <w:sz w:val="18"/>
        </w:rPr>
        <w:t>Figure 9 — License status</w:t>
      </w:r>
    </w:p>
    <w:p>
      <w:r>
        <w:t>The License page shows the Installation ID and current state.</w:t>
      </w:r>
    </w:p>
    <w:p>
      <w:pPr>
        <w:pStyle w:val="Heading2"/>
      </w:pPr>
      <w:r>
        <w:t>Trial</w:t>
      </w:r>
    </w:p>
    <w:p>
      <w:r>
        <w:t xml:space="preserve">Select </w:t>
      </w:r>
      <w:r>
        <w:rPr>
          <w:b/>
        </w:rPr>
        <w:t>Start 14-day trial</w:t>
      </w:r>
      <w:r>
        <w:t xml:space="preserve"> and confirm. Trial activation is one-time per persisted installation and cannot be restarted through the Portal.</w:t>
      </w:r>
    </w:p>
    <w:p>
      <w:pPr>
        <w:pStyle w:val="Heading2"/>
      </w:pPr>
      <w:r>
        <w:t>Offline license</w:t>
      </w:r>
    </w:p>
    <w:p>
      <w:r>
        <w:t xml:space="preserve">Paste the complete </w:t>
      </w:r>
      <w:r>
        <w:rPr>
          <w:rFonts w:ascii="Consolas" w:hAnsi="Consolas"/>
          <w:color w:val="505050"/>
          <w:sz w:val="18"/>
        </w:rPr>
        <w:t>NX1.&lt;payload&gt;.&lt;signature&gt;</w:t>
      </w:r>
      <w:r>
        <w:t xml:space="preserve"> value into </w:t>
      </w:r>
      <w:r>
        <w:rPr>
          <w:b/>
        </w:rPr>
        <w:t>License key</w:t>
      </w:r>
      <w:r>
        <w:t xml:space="preserve">, then select </w:t>
      </w:r>
      <w:r>
        <w:rPr>
          <w:b/>
        </w:rPr>
        <w:t>Verify and activate</w:t>
      </w:r>
      <w:r>
        <w:t>. The raw key is encrypted at rest and never returned to the browser. The page displays only safe claims such as edition, customer, dates, features, and capacities.</w:t>
      </w:r>
    </w:p>
    <w:p>
      <w:r>
        <w:t xml:space="preserve">License operation currently runs in audit mode: entitlements are visible but do not yet block features. Key generation and activation are documented in </w:t>
      </w:r>
      <w:hyperlink r:id="rId19">
        <w:r>
          <w:rPr>
            <w:color w:val="0563C1"/>
            <w:u w:val="single"/>
          </w:rPr>
          <w:t>Product licensing and entitlements</w:t>
        </w:r>
      </w:hyperlink>
      <w:r>
        <w:t>.</w:t>
      </w:r>
    </w:p>
    <w:p>
      <w:r>
        <w:br w:type="page"/>
      </w:r>
    </w:p>
    <w:p>
      <w:pPr>
        <w:pStyle w:val="Heading1"/>
      </w:pPr>
      <w:r>
        <w:t>12. Sign-in &amp; authentication</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10</w:t>
              <w:br/>
              <w:br/>
              <w:t>Authentication settings</w:t>
              <w:br/>
              <w:br/>
            </w:r>
            <w:r>
              <w:rPr>
                <w:i/>
                <w:color w:val="666666"/>
                <w:sz w:val="18"/>
              </w:rPr>
              <w:t>Capture enabled sign-in methods with IDs blurred and the client-secret field empty.</w:t>
            </w:r>
          </w:p>
        </w:tc>
      </w:tr>
    </w:tbl>
    <w:p>
      <w:pPr>
        <w:jc w:val="center"/>
      </w:pPr>
      <w:r>
        <w:rPr>
          <w:i/>
          <w:color w:val="666666"/>
          <w:sz w:val="18"/>
        </w:rPr>
        <w:t>Figure 10 — Authentication settings</w:t>
      </w:r>
    </w:p>
    <w:p>
      <w:r>
        <w:t xml:space="preserve">Local authentication is controlled by deployment setting </w:t>
      </w:r>
      <w:r>
        <w:rPr>
          <w:rFonts w:ascii="Consolas" w:hAnsi="Consolas"/>
          <w:color w:val="505050"/>
          <w:sz w:val="18"/>
        </w:rPr>
        <w:t>LOCAL_AUTH_ENABLED</w:t>
      </w:r>
      <w:r>
        <w:t>. The Portal manages the Microsoft Entra configuration:</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Field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Source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 Microsoft Entra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Enables Entra sign-in after valid configuration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Tenant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Entra tenant Overview</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UUID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API application (server)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Backend/API app registration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UUID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SPA application (client) ID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Frontend SPA app registration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UUID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API client secret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Secret </w:t>
            </w:r>
            <w:r>
              <w:rPr>
                <w:b/>
                <w:sz w:val="17"/>
              </w:rPr>
              <w:t>Value</w:t>
            </w:r>
            <w:r>
              <w:rPr>
                <w:sz w:val="17"/>
              </w:rPr>
              <w:t xml:space="preserve"> for the API application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Secret</w:t>
            </w:r>
          </w:p>
        </w:tc>
      </w:tr>
    </w:tbl>
    <w:p>
      <w:pPr>
        <w:spacing w:after="0"/>
      </w:pPr>
    </w:p>
    <w:p>
      <w:r>
        <w:t xml:space="preserve">Saved managed values override environment defaults and secrets are encrypted. Use </w:t>
      </w:r>
      <w:r>
        <w:rPr>
          <w:b/>
        </w:rPr>
        <w:t>Use environment settings</w:t>
      </w:r>
      <w:r>
        <w:t xml:space="preserve"> to remove the managed override. Reload the page before testing a changed Entra configuration. Configure the SPA redirect URI to the actual HTTPS origin used by users.</w:t>
      </w:r>
    </w:p>
    <w:p>
      <w:r>
        <w:t xml:space="preserve">See </w:t>
      </w:r>
      <w:hyperlink r:id="rId20">
        <w:r>
          <w:rPr>
            <w:color w:val="0563C1"/>
            <w:u w:val="single"/>
          </w:rPr>
          <w:t>Local and Microsoft Entra authentication</w:t>
        </w:r>
      </w:hyperlink>
      <w:r>
        <w:t>.</w:t>
      </w:r>
    </w:p>
    <w:p>
      <w:r>
        <w:br w:type="page"/>
      </w:r>
    </w:p>
    <w:p>
      <w:pPr>
        <w:pStyle w:val="Heading1"/>
      </w:pPr>
      <w:r>
        <w:t>13. Knowledge ingestion</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11</w:t>
              <w:br/>
              <w:br/>
              <w:t>Ingestion and processing status</w:t>
              <w:br/>
              <w:br/>
            </w:r>
            <w:r>
              <w:rPr>
                <w:i/>
                <w:color w:val="666666"/>
                <w:sz w:val="18"/>
              </w:rPr>
              <w:t>Capture a sanitized job list showing normal lifecycle states.</w:t>
            </w:r>
          </w:p>
        </w:tc>
      </w:tr>
    </w:tbl>
    <w:p>
      <w:pPr>
        <w:jc w:val="center"/>
      </w:pPr>
      <w:r>
        <w:rPr>
          <w:i/>
          <w:color w:val="666666"/>
          <w:sz w:val="18"/>
        </w:rPr>
        <w:t>Figure 11 — Ingestion and processing status</w:t>
      </w:r>
    </w:p>
    <w:p>
      <w:r>
        <w:t xml:space="preserve">Administrators with upload permission can manage Global or Team documents and web ingestion. Select the correct Data Group and processing profile. </w:t>
      </w:r>
      <w:r>
        <w:rPr>
          <w:b/>
        </w:rPr>
        <w:t>Auto — use routing rules</w:t>
      </w:r>
      <w:r>
        <w:t xml:space="preserve"> is the recommended processing default unless a specific OCR profile is required.</w:t>
      </w:r>
    </w:p>
    <w:p>
      <w:r>
        <w:t>Monitor persistent job states and failures. Deleting metadata without deleting the corresponding object or vector records is not an acceptable cleanup path; use the supported application actions.</w:t>
      </w:r>
    </w:p>
    <w:p>
      <w:r>
        <w:t xml:space="preserve">See </w:t>
      </w:r>
      <w:hyperlink r:id="rId21">
        <w:r>
          <w:rPr>
            <w:color w:val="0563C1"/>
            <w:u w:val="single"/>
          </w:rPr>
          <w:t>Document Processing and OCR</w:t>
        </w:r>
      </w:hyperlink>
      <w:r>
        <w:t xml:space="preserve"> and </w:t>
      </w:r>
      <w:hyperlink r:id="rId22">
        <w:r>
          <w:rPr>
            <w:color w:val="0563C1"/>
            <w:u w:val="single"/>
          </w:rPr>
          <w:t>Persistent ingestion jobs</w:t>
        </w:r>
      </w:hyperlink>
      <w:r>
        <w:t>.</w:t>
      </w:r>
    </w:p>
    <w:p>
      <w:r>
        <w:br w:type="page"/>
      </w:r>
    </w:p>
    <w:p>
      <w:pPr>
        <w:pStyle w:val="Heading1"/>
      </w:pPr>
      <w:r>
        <w:t>14. Production operations</w:t>
      </w:r>
    </w:p>
    <w:p>
      <w:pPr>
        <w:pStyle w:val="Heading2"/>
      </w:pPr>
      <w:r>
        <w:t>TLS</w:t>
      </w:r>
    </w:p>
    <w:p>
      <w:r>
        <w:t xml:space="preserve">The optional Nginx overlay terminates TLS, redirects HTTP to HTTPS, and keeps stateful services private. Supply </w:t>
      </w:r>
      <w:r>
        <w:rPr>
          <w:rFonts w:ascii="Consolas" w:hAnsi="Consolas"/>
          <w:color w:val="505050"/>
          <w:sz w:val="18"/>
        </w:rPr>
        <w:t>fullchain.pem</w:t>
      </w:r>
      <w:r>
        <w:t xml:space="preserve"> and </w:t>
      </w:r>
      <w:r>
        <w:rPr>
          <w:rFonts w:ascii="Consolas" w:hAnsi="Consolas"/>
          <w:color w:val="505050"/>
          <w:sz w:val="18"/>
        </w:rPr>
        <w:t>privkey.pem</w:t>
      </w:r>
      <w:r>
        <w:t xml:space="preserve"> outside the repository. See </w:t>
      </w:r>
      <w:hyperlink r:id="rId23">
        <w:r>
          <w:rPr>
            <w:color w:val="0563C1"/>
            <w:u w:val="single"/>
          </w:rPr>
          <w:t>Production TLS</w:t>
        </w:r>
      </w:hyperlink>
      <w:r>
        <w:t>.</w:t>
      </w:r>
    </w:p>
    <w:p>
      <w:pPr>
        <w:pStyle w:val="Heading2"/>
      </w:pPr>
      <w:r>
        <w:t>Backup and restore</w:t>
      </w:r>
    </w:p>
    <w:p>
      <w:r>
        <w:t xml:space="preserve">Back up MongoDB plus object/vector data required by the selected providers. Preserve </w:t>
      </w:r>
      <w:r>
        <w:rPr>
          <w:rFonts w:ascii="Consolas" w:hAnsi="Consolas"/>
          <w:color w:val="505050"/>
          <w:sz w:val="18"/>
        </w:rPr>
        <w:t>APP_DATA_ENCRYPTION_KEY</w:t>
      </w:r>
      <w:r>
        <w:t xml:space="preserve">; changing it makes encrypted application secrets and stored licenses unreadable. See </w:t>
      </w:r>
      <w:hyperlink r:id="rId24">
        <w:r>
          <w:rPr>
            <w:color w:val="0563C1"/>
            <w:u w:val="single"/>
          </w:rPr>
          <w:t>Local backup and restore</w:t>
        </w:r>
      </w:hyperlink>
      <w:r>
        <w:t>.</w:t>
      </w:r>
    </w:p>
    <w:p>
      <w:pPr>
        <w:pStyle w:val="Heading2"/>
      </w:pPr>
      <w:r>
        <w:t>Secrets</w:t>
      </w:r>
    </w:p>
    <w:p>
      <w:pPr>
        <w:pStyle w:val="ListBullet"/>
      </w:pPr>
      <w:r>
        <w:t xml:space="preserve">Do not commit </w:t>
      </w:r>
      <w:r>
        <w:rPr>
          <w:rFonts w:ascii="Consolas" w:hAnsi="Consolas"/>
          <w:color w:val="505050"/>
          <w:sz w:val="18"/>
        </w:rPr>
        <w:t>.env</w:t>
      </w:r>
      <w:r>
        <w:t xml:space="preserve"> files, private signing keys, certificates' private keys,</w:t>
      </w:r>
    </w:p>
    <w:p>
      <w:r>
        <w:t>service-account JSON, access tokens, or connection strings.</w:t>
      </w:r>
    </w:p>
    <w:p>
      <w:pPr>
        <w:pStyle w:val="ListBullet"/>
      </w:pPr>
      <w:r>
        <w:t>Leave a secret field blank during Edit when the UI says blank keeps the</w:t>
      </w:r>
    </w:p>
    <w:p>
      <w:r>
        <w:t>stored value.</w:t>
      </w:r>
    </w:p>
    <w:p>
      <w:pPr>
        <w:pStyle w:val="ListBullet"/>
      </w:pPr>
      <w:r>
        <w:t>Rotate credentials through their provider and update the encrypted Portal</w:t>
      </w:r>
    </w:p>
    <w:p>
      <w:r>
        <w:t>field deliberately.</w:t>
      </w:r>
    </w:p>
    <w:p>
      <w:pPr>
        <w:pStyle w:val="ListBullet"/>
      </w:pPr>
      <w:r>
        <w:t>Do not paste secrets into Agent prompts, audit tickets, screenshots, or chat.</w:t>
      </w:r>
    </w:p>
    <w:p>
      <w:r>
        <w:br w:type="page"/>
      </w:r>
    </w:p>
    <w:p>
      <w:pPr>
        <w:pStyle w:val="Heading1"/>
      </w:pPr>
      <w:r>
        <w:t>15. Administrative acceptance checklist</w:t>
      </w:r>
    </w:p>
    <w:p>
      <w:pPr>
        <w:pStyle w:val="ListBullet"/>
      </w:pPr>
      <w:r>
        <w:t>Sign-in succeeds through every enabled authentication method.</w:t>
      </w:r>
    </w:p>
    <w:p>
      <w:pPr>
        <w:pStyle w:val="ListBullet"/>
      </w:pPr>
      <w:r>
        <w:t>At least two System Administrators exist for recovery, where policy allows.</w:t>
      </w:r>
    </w:p>
    <w:p>
      <w:pPr>
        <w:pStyle w:val="ListBullet"/>
      </w:pPr>
      <w:r>
        <w:t>Team membership and permission boundaries have been tested with a non-admin</w:t>
      </w:r>
    </w:p>
    <w:p>
      <w:r>
        <w:t>account.</w:t>
      </w:r>
    </w:p>
    <w:p>
      <w:pPr>
        <w:pStyle w:val="ListBullet"/>
      </w:pPr>
      <w:r>
        <w:t>Data Group access prevents unauthorized retrieval and citation opening.</w:t>
      </w:r>
    </w:p>
    <w:p>
      <w:pPr>
        <w:pStyle w:val="ListBullet"/>
      </w:pPr>
      <w:r>
        <w:t>Every LLM model has connection, tools, and vision results recorded.</w:t>
      </w:r>
    </w:p>
    <w:p>
      <w:pPr>
        <w:pStyle w:val="ListBullet"/>
      </w:pPr>
      <w:r>
        <w:t>Every integration passes Test and is assigned only to intended Agents.</w:t>
      </w:r>
    </w:p>
    <w:p>
      <w:pPr>
        <w:pStyle w:val="ListBullet"/>
      </w:pPr>
      <w:r>
        <w:t>Azure inventory Service Principals use Reader or narrower scope.</w:t>
      </w:r>
    </w:p>
    <w:p>
      <w:pPr>
        <w:pStyle w:val="ListBullet"/>
      </w:pPr>
      <w:r>
        <w:t>Guardrails, quotas, and retention match organizational policy.</w:t>
      </w:r>
    </w:p>
    <w:p>
      <w:pPr>
        <w:pStyle w:val="ListBullet"/>
      </w:pPr>
      <w:r>
        <w:t>System Health is healthy, including Nginx when TLS is enabled.</w:t>
      </w:r>
    </w:p>
    <w:p>
      <w:pPr>
        <w:pStyle w:val="ListBullet"/>
      </w:pPr>
      <w:r>
        <w:t>Backups are validated with a non-destructive restore verification.</w:t>
      </w:r>
    </w:p>
    <w:p>
      <w:pPr>
        <w:pStyle w:val="ListBullet"/>
      </w:pPr>
      <w:r>
        <w:t>License status and expiry are reviewed.</w:t>
      </w:r>
    </w:p>
    <w:p>
      <w:pPr>
        <w:pStyle w:val="ListBullet"/>
      </w:pPr>
      <w:r>
        <w:t>External monitoring and certificate renewal are configured for production.</w:t>
      </w:r>
    </w:p>
    <w:p>
      <w:r>
        <w:br w:type="page"/>
      </w:r>
    </w:p>
    <w:p>
      <w:pPr>
        <w:pStyle w:val="Heading1"/>
      </w:pPr>
      <w:r>
        <w:t>16. Troubleshooting</w:t>
      </w:r>
    </w:p>
    <w:tbl>
      <w:tblPr>
        <w:tblStyle w:val="TableGrid"/>
        <w:tblW w:type="auto" w:w="0"/>
        <w:tblLayout w:type="autofit"/>
        <w:tblLook w:firstColumn="1" w:firstRow="1" w:lastColumn="0" w:lastRow="0" w:noHBand="0" w:noVBand="1" w:val="04A0"/>
      </w:tblPr>
      <w:tblGrid>
        <w:gridCol w:w="4874"/>
        <w:gridCol w:w="4874"/>
      </w:tblGrid>
      <w:tr>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Symptom</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Likely check</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Menu is missing</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Confirm System/Team context and required permission</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Provider Test succeeds but tools fail</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Check model tool capability, Agent LangGraph runtime, and tool assignment</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Local Ollama is unreachable</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Use </w:t>
            </w:r>
            <w:r>
              <w:rPr>
                <w:rFonts w:ascii="Consolas" w:hAnsi="Consolas"/>
                <w:color w:val="505050"/>
                <w:sz w:val="17"/>
              </w:rPr>
              <w:t>ollama:11434</w:t>
            </w:r>
            <w:r>
              <w:rPr>
                <w:sz w:val="17"/>
              </w:rPr>
              <w:t xml:space="preserve"> inside Compose or </w:t>
            </w:r>
            <w:r>
              <w:rPr>
                <w:rFonts w:ascii="Consolas" w:hAnsi="Consolas"/>
                <w:color w:val="505050"/>
                <w:sz w:val="17"/>
              </w:rPr>
              <w:t>host.docker.internal</w:t>
            </w:r>
            <w:r>
              <w:rPr>
                <w:sz w:val="17"/>
              </w:rPr>
              <w:t xml:space="preserve"> for a host service</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MCP test reports name resolution failure</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The URL hostname is not resolvable/reachable from the app container</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MCP has no resources</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Verify tenant, subscription list, Client ID/secret, and Reader RBAC scope</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Managed Azure MCP provisioning unavailable</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Verify Integration Controller health and Docker socket/runtime access</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License page returns HTTP error</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Check app logs, MongoDB health, </w:t>
            </w:r>
            <w:r>
              <w:rPr>
                <w:rFonts w:ascii="Consolas" w:hAnsi="Consolas"/>
                <w:color w:val="505050"/>
                <w:sz w:val="17"/>
              </w:rPr>
              <w:t>APP_DATA_ENCRYPTION_KEY</w:t>
            </w:r>
            <w:r>
              <w:rPr>
                <w:sz w:val="17"/>
              </w:rPr>
              <w:t>, and trusted public-key mount</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Nginx missing from System Health</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The TLS overlay was not used when recreating the app, or its internal health URL is absent</w:t>
            </w:r>
          </w:p>
        </w:tc>
      </w:tr>
      <w:tr>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Chat history disappears early</w:t>
            </w:r>
          </w:p>
        </w:tc>
        <w:tc>
          <w:tcPr>
            <w:tcW w:type="dxa" w:w="4874"/>
            <w:tcBorders>
              <w:top w:val="single" w:sz="8" w:color="A6A6A6"/>
              <w:left w:val="single" w:sz="8" w:color="A6A6A6"/>
              <w:bottom w:val="single" w:sz="8" w:color="A6A6A6"/>
              <w:right w:val="single" w:sz="8" w:color="A6A6A6"/>
              <w:insideH w:val="single" w:sz="8" w:color="A6A6A6"/>
              <w:insideV w:val="single" w:sz="8" w:color="A6A6A6"/>
            </w:tcBorders>
          </w:tcPr>
          <w:p>
            <w:r>
              <w:rPr>
                <w:sz w:val="17"/>
              </w:rPr>
              <w:t>Check System and Team retention policies and manual deletion audit metadata</w:t>
            </w:r>
          </w:p>
        </w:tc>
      </w:tr>
    </w:tbl>
    <w:p>
      <w:pPr>
        <w:spacing w:after="0"/>
      </w:pPr>
    </w:p>
    <w:p>
      <w:r>
        <w:t>When collecting diagnostics, record time, component, safe status code, Team, and action. Do not copy secrets, raw prompts, raw tool output, or customer document content into logs or support cases.</w:t>
      </w:r>
    </w:p>
    <w:p>
      <w:r>
        <w:br w:type="page"/>
      </w:r>
    </w:p>
    <w:p>
      <w:pPr>
        <w:pStyle w:val="Heading1"/>
      </w:pPr>
      <w:r>
        <w:t>Related documentation</w:t>
      </w:r>
    </w:p>
    <w:p>
      <w:pPr>
        <w:pStyle w:val="ListBullet"/>
      </w:pPr>
      <w:hyperlink r:id="rId25">
        <w:r>
          <w:rPr>
            <w:color w:val="0563C1"/>
            <w:u w:val="single"/>
          </w:rPr>
          <w:t>User Manual</w:t>
        </w:r>
      </w:hyperlink>
    </w:p>
    <w:p>
      <w:pPr>
        <w:pStyle w:val="ListBullet"/>
      </w:pPr>
      <w:hyperlink r:id="rId26">
        <w:r>
          <w:rPr>
            <w:color w:val="0563C1"/>
            <w:u w:val="single"/>
          </w:rPr>
          <w:t>System Health</w:t>
        </w:r>
      </w:hyperlink>
    </w:p>
    <w:p>
      <w:pPr>
        <w:pStyle w:val="ListBullet"/>
      </w:pPr>
      <w:hyperlink r:id="rId23">
        <w:r>
          <w:rPr>
            <w:color w:val="0563C1"/>
            <w:u w:val="single"/>
          </w:rPr>
          <w:t>Production TLS</w:t>
        </w:r>
      </w:hyperlink>
    </w:p>
    <w:p>
      <w:pPr>
        <w:pStyle w:val="ListBullet"/>
      </w:pPr>
      <w:hyperlink r:id="rId19">
        <w:r>
          <w:rPr>
            <w:color w:val="0563C1"/>
            <w:u w:val="single"/>
          </w:rPr>
          <w:t>Product licensing</w:t>
        </w:r>
      </w:hyperlink>
    </w:p>
    <w:p>
      <w:pPr>
        <w:pStyle w:val="ListBullet"/>
      </w:pPr>
      <w:hyperlink r:id="rId27">
        <w:r>
          <w:rPr>
            <w:color w:val="0563C1"/>
            <w:u w:val="single"/>
          </w:rPr>
          <w:t>Usage quotas</w:t>
        </w:r>
      </w:hyperlink>
    </w:p>
    <w:p>
      <w:pPr>
        <w:pStyle w:val="ListBullet"/>
      </w:pPr>
      <w:hyperlink r:id="rId28">
        <w:r>
          <w:rPr>
            <w:color w:val="0563C1"/>
            <w:u w:val="single"/>
          </w:rPr>
          <w:t>AI guardrails</w:t>
        </w:r>
      </w:hyperlink>
    </w:p>
    <w:p>
      <w:pPr>
        <w:pStyle w:val="ListBullet"/>
      </w:pPr>
      <w:hyperlink r:id="rId29">
        <w:r>
          <w:rPr>
            <w:color w:val="0563C1"/>
            <w:u w:val="single"/>
          </w:rPr>
          <w:t>Integration control plane</w:t>
        </w:r>
      </w:hyperlink>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NexoraAI  •  Internal Product Documentation  •  Page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fldChar w:fldCharType="end"/>
    </w:r>
    <w:r>
      <w:rPr>
        <w:color w:val="666666"/>
        <w:sz w:val="16"/>
      </w:rPr>
      <w:t xml:space="preserve"> of </w:t>
    </w:r>
    <w:r>
      <w:rPr>
        <w:color w:val="666666"/>
        <w:sz w:val="16"/>
      </w:rPr>
      <w:fldChar w:fldCharType="begin"/>
    </w:r>
    <w:r>
      <w:rPr>
        <w:color w:val="666666"/>
        <w:sz w:val="16"/>
      </w:rPr>
      <w:instrText xml:space="preserve"> NUMPAGES </w:instrText>
    </w:r>
    <w:r>
      <w:rPr>
        <w:color w:val="666666"/>
        <w:sz w:val="16"/>
      </w:rPr>
      <w:fldChar w:fldCharType="separate"/>
    </w:r>
    <w:r>
      <w:rPr>
        <w:color w:val="66666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NexoraAI  |  NexoraAI Administrator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6666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Liberation Sans" w:hAnsi="Liberation Sans"/>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azure-drawio-mcp.md" TargetMode="External"/><Relationship Id="rId13" Type="http://schemas.openxmlformats.org/officeDocument/2006/relationships/hyperlink" Target="database-integrations.md" TargetMode="External"/><Relationship Id="rId14" Type="http://schemas.openxmlformats.org/officeDocument/2006/relationships/hyperlink" Target="mail-integrations.md" TargetMode="External"/><Relationship Id="rId15" Type="http://schemas.openxmlformats.org/officeDocument/2006/relationships/hyperlink" Target="business-document-integrations.md" TargetMode="External"/><Relationship Id="rId16" Type="http://schemas.openxmlformats.org/officeDocument/2006/relationships/hyperlink" Target="messaging-integrations.md" TargetMode="External"/><Relationship Id="rId17" Type="http://schemas.openxmlformats.org/officeDocument/2006/relationships/hyperlink" Target="jira-servicenow-mcp.md" TargetMode="External"/><Relationship Id="rId18" Type="http://schemas.openxmlformats.org/officeDocument/2006/relationships/hyperlink" Target="model_provider_configuration.md" TargetMode="External"/><Relationship Id="rId19" Type="http://schemas.openxmlformats.org/officeDocument/2006/relationships/hyperlink" Target="licensing.md" TargetMode="External"/><Relationship Id="rId20" Type="http://schemas.openxmlformats.org/officeDocument/2006/relationships/hyperlink" Target="local-authentication.md" TargetMode="External"/><Relationship Id="rId21" Type="http://schemas.openxmlformats.org/officeDocument/2006/relationships/hyperlink" Target="document-processing.md" TargetMode="External"/><Relationship Id="rId22" Type="http://schemas.openxmlformats.org/officeDocument/2006/relationships/hyperlink" Target="ingestion-jobs.md" TargetMode="External"/><Relationship Id="rId23" Type="http://schemas.openxmlformats.org/officeDocument/2006/relationships/hyperlink" Target="production-tls.md" TargetMode="External"/><Relationship Id="rId24" Type="http://schemas.openxmlformats.org/officeDocument/2006/relationships/hyperlink" Target="local-backup-restore.md" TargetMode="External"/><Relationship Id="rId25" Type="http://schemas.openxmlformats.org/officeDocument/2006/relationships/hyperlink" Target="user-manual.md" TargetMode="External"/><Relationship Id="rId26" Type="http://schemas.openxmlformats.org/officeDocument/2006/relationships/hyperlink" Target="system-health.md" TargetMode="External"/><Relationship Id="rId27" Type="http://schemas.openxmlformats.org/officeDocument/2006/relationships/hyperlink" Target="usage-quotas.md" TargetMode="External"/><Relationship Id="rId28" Type="http://schemas.openxmlformats.org/officeDocument/2006/relationships/hyperlink" Target="ai-guardrails.md" TargetMode="External"/><Relationship Id="rId29" Type="http://schemas.openxmlformats.org/officeDocument/2006/relationships/hyperlink" Target="integration-control-plan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NexoraAI Administrator Manual</dc:title>
  <dc:subject>NexoraAI product usage and administration</dc:subject>
  <dc:creator>NexoraAI</dc:creator>
  <cp:keywords>NexoraAI, manual, user guide, administrator guide</cp:keywords>
  <dc:description>generated by python-docx</dc:description>
  <cp:lastModifiedBy/>
  <cp:revision>1</cp:revision>
  <dcterms:created xsi:type="dcterms:W3CDTF">2013-12-23T23:15:00Z</dcterms:created>
  <dcterms:modified xsi:type="dcterms:W3CDTF">2013-12-23T23:15:00Z</dcterms:modified>
  <cp:category/>
</cp:coreProperties>
</file>