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ontserrat" w:cs="Montserrat" w:eastAsia="Montserrat" w:hAnsi="Montserrat"/>
          <w:b/>
          <w:bCs/>
          <w:color w:val="525957"/>
          <w:sz w:val="22"/>
          <w:szCs w:val="22"/>
        </w:rPr>
        <w:t xml:space="preserve">Cognologix Technologies</w:t>
      </w:r>
    </w:p>
    <w:p>
      <w:pPr>
        <w:spacing w:after="200"/>
      </w:pPr>
      <w:r>
        <w:rPr>
          <w:rFonts w:ascii="Montserrat" w:cs="Montserrat" w:eastAsia="Montserrat" w:hAnsi="Montserrat"/>
          <w:b/>
          <w:bCs/>
          <w:color w:val="232323"/>
          <w:sz w:val="40"/>
          <w:szCs w:val="40"/>
        </w:rPr>
        <w:t xml:space="preserve">Financial Planning &amp; People Analytics System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f05756"/>
          <w:sz w:val="30"/>
          <w:szCs w:val="30"/>
        </w:rPr>
        <w:t xml:space="preserve">Requirements Specification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f68c45"/>
          <w:sz w:val="24"/>
          <w:szCs w:val="24"/>
        </w:rPr>
        <w:t xml:space="preserve">Module 3: Budgeting &amp; Forecasting (AOP)</w:t>
      </w:r>
    </w:p>
    <w:p>
      <w:pPr>
        <w:spacing w:after="400"/>
      </w:pPr>
      <w:r>
        <w:rPr>
          <w:rFonts w:ascii="Lato" w:cs="Lato" w:eastAsia="Lato" w:hAnsi="Lato"/>
          <w:color w:val="555555"/>
          <w:sz w:val="20"/>
          <w:szCs w:val="20"/>
        </w:rPr>
        <w:t xml:space="preserve">Version 1.0 (Draft — Pending Review)  |  July 2026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f68c45"/>
          <w:sz w:val="24"/>
          <w:szCs w:val="24"/>
        </w:rPr>
        <w:t xml:space="preserve">Document Control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Vaibhav, Co-Founder, Cognologix Technologies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Vaibhav Natu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Status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Draft v1.0 — pending sign-off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Scope</w:t>
            </w:r>
          </w:p>
        </w:tc>
        <w:tc>
          <w:tcPr>
            <w:tcW w:type="dxa" w:w="7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Annual Operating Plan (AOP) — baseline forecast, rolling forecast, delta, Plan vs Actual across Revenue / HC / Salary / Overhead / Gross Margin / EBITDA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Module 1 (People &amp; Payroll), Module 2 (Customer Management), ADR log (ADR-022, ADR-037)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N/A — first Budgeting &amp; Forecasting spec; replaces manual Excel AOP model (Cognologix_FY2627_v9.xlsx)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Revision History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00"/>
      </w:tblGrid>
      <w:tr>
        <w:trPr>
          <w:tblHeader/>
        </w:trPr>
        <w:tc>
          <w:tcPr>
            <w:tcW w:type="dxa" w:w="9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July 2026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Initial draft — financial year plan structure, three forecast types, versioned baseline, rolling forecast, delta, Plan vs Actual across all six dimensions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1. Purpose &amp; Scope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This document specifies Module 3: Budgeting &amp; Forecasting (AOP) — the original goal of the Cognologix Financial Planning &amp; People Analytics System and the downstream consumer of both People &amp; Payroll (Module 1) and Revenue (future module) actuals. It replaces the manual Excel AOP model with a system-of-record equivalent that tracks Plan vs Actual across all key financial and operational dimensions.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core philosophy throughout this module is identical to the broader system: Plan vs Actual is the primary value delivered. Every input, every calculated output, and every dashboard view exists to answer one question: how is Cognologix tracking against its plan?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Financial year plan structure with three forecast types (Normal, Aggressive, Conservative) — Finance can add 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Versioned baseline per forecast type — one ACTIVE version at a time, prior versions SUPERSEDED and retained permanently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Plan inputs: HC Plan, Client Revenue Plan (manual), Salary Budget, Overhead Budget (23 line items across 6 categories)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Rolling Forecast = Actuals (finalised periods) + current Active Normal forecast (future months) — auto-computed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Delta = Rolling Forecast − current Active Normal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Plan vs Actual across all six dimensions: Revenue, HC, Salary Cost, Overhead, Gross Margin, EBITDA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General Settings additions: working days per month, annual attrition rate, target billable ratio, opening HC per 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Actuals consumption via PeriodFinalisedEvent from People &amp; Payroll (ADR-022)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Scenario comparison: any two forecast types compared side by side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Out of scope for this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Revenue actuals from Zoho Books — Revenue module not yet specced; Finance enters revenue actuals manually as a placeholder until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Overhead actuals from Tally Prime — Finance enters manually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Tier assignment for T&amp;M rate calculation — deferred to a later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Hiring cost detailed model (BGV, screening, agency fees per joiner) — deferred; covered by Overhead Budget Recruitment lines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Employee cost per billable head (layered analysis) — deferred</w:t>
      </w:r>
    </w:p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2. Background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Cognologix has maintained a sophisticated 14-sheet Excel AOP model covering headcount movement, revenue by client, cost structure, BU-level gross margin, P&amp;L, scenario comparison, and monthly metrics. This module is the system equivalent of that model — with the critical improvement that actuals flow in automatically from People &amp; Payroll rather than being manually copied from a separate PeopleData workbook each month.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Excel model distinguishes clearly between input cells (Finance enters), formula cells (auto-calculated), and actual cells (entered monthly). This module preserves that discipline: Finance inputs are explicit, actuals flow from authoritative sources, and calculated outputs are never manually overridden.</w:t>
      </w:r>
    </w:p>
    <w:p>
      <w:pPr>
        <w:pBdr>
          <w:left w:val="single" w:color="f68c45" w:sz="18" w:space="8"/>
        </w:pBdr>
        <w:shd w:fill="f7f6f4" w:val="clear"/>
        <w:spacing w:after="160" w:before="60"/>
      </w:pPr>
      <w:r>
        <w:rPr>
          <w:rFonts w:ascii="Lato" w:cs="Lato" w:eastAsia="Lato" w:hAnsi="Lato"/>
          <w:i/>
          <w:iCs/>
          <w:color w:val="555555"/>
          <w:sz w:val="20"/>
          <w:szCs w:val="20"/>
        </w:rPr>
        <w:t xml:space="preserve">All monetary values in this module are in INR Lakhs unless explicitly noted. USD-denominated revenues are converted at the FX rate from General configuration (ADR-017). The fx_rate_id is stored with every conversion record for historical traceability.</w:t>
      </w:r>
    </w:p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3. Financial Year Plan Structure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3.1 Financial Year Plan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One financial_year_plan record per Indian Financial Year (April–March), identified by fiscal_year (e.g. FY2627). Contains the opening headcount for the year and links to all forecast types.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3.2 Forecast Types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Three standard types are seeded: NORMAL (primary — drives Rolling Forecast and Delta), AGGRESSIVE (optimistic scenario), CONSERVATIVE (pessimistic scenario). Finance can create additional named types. Each forecast type is independent — its own plan inputs and its own version history. All forecast types share the same actuals.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3.3 Forecast Versions and Lifecycle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Each forecast type has exactly one ACTIVE version at any time. Version lifecycle: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rPr>
          <w:tblHeader/>
        </w:trPr>
        <w:tc>
          <w:tcPr>
            <w:tcW w:type="dxa" w:w="18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8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DRAFT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is currently editing. Not used in any calculations. Only one DRAFT per forecast type at a time.</w:t>
            </w:r>
          </w:p>
        </w:tc>
      </w:tr>
      <w:tr>
        <w:tc>
          <w:tcPr>
            <w:tcW w:type="dxa" w:w="1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ACTIVE</w:t>
            </w:r>
          </w:p>
        </w:tc>
        <w:tc>
          <w:tcPr>
            <w:tcW w:type="dxa" w:w="7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The current plan. NORMAL's active version drives Rolling Forecast and Delta. Only one ACTIVE per forecast type at a time.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SUPERSEDED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Replaced by a newer version when Finance publishes a revision. Retained permanently for audit and history. Never deleted.</w:t>
            </w:r>
          </w:p>
        </w:tc>
      </w:tr>
    </w:tbl>
    <w:p>
      <w:pPr>
        <w:pBdr>
          <w:left w:val="single" w:color="f68c45" w:sz="18" w:space="8"/>
        </w:pBdr>
        <w:shd w:fill="f7f6f4" w:val="clear"/>
        <w:spacing w:after="160" w:before="60"/>
      </w:pPr>
      <w:r>
        <w:rPr>
          <w:rFonts w:ascii="Lato" w:cs="Lato" w:eastAsia="Lato" w:hAnsi="Lato"/>
          <w:i/>
          <w:iCs/>
          <w:color w:val="555555"/>
          <w:sz w:val="20"/>
          <w:szCs w:val="20"/>
        </w:rPr>
        <w:t xml:space="preserve">The Baseline is always the current ACTIVE version of the NORMAL forecast. When Finance supersedes v1 with v2 in June, the Delta from June onwards becomes Rolling Forecast − v2. This answers 'how are we tracking against our current plan' — more useful than comparing against an April plan that Finance has since revised.</w:t>
      </w:r>
    </w:p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4. Plan Inputs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All plan inputs are entered per forecast version, per month (12 monthly columns: Apr–Mar). Finance enters these when creating or revising a forecast version.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4.1 HC Plan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Input Line</w:t>
            </w:r>
          </w:p>
        </w:tc>
        <w:tc>
          <w:tcPr>
            <w:tcW w:type="dxa" w:w="6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Hires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Number of new joiners expected this month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Exits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Number of attritions/exits expected this month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Billable HC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Expected billable headcount at month end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Bench HC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Expected bench (delivery, undeployed) headcount at month end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Support HC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Expected non-billable support HC (HR, IT, Admin, Finance)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Leadership HC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Expected senior management headcount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Management HC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Expected co-founder/management HC (fixed at 4)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Billable Ratio %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Auto-calculated: Planned Billable HC ÷ Total Planned HC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4.2 Client Revenue Plan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 client per month. Finance enters these directly — no auto-calculation from rate cards. Rate cards are used for Revenue actuals reconciliation, not for planning.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Input Line</w:t>
            </w:r>
          </w:p>
        </w:tc>
        <w:tc>
          <w:tcPr>
            <w:tcW w:type="dxa" w:w="6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T&amp;M Revenue (Rs L)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enters expected T&amp;M revenue per client per month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Fixed-Bid Revenue (Rs L)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enters expected Fixed-Bid revenue per client per month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Total Revenue (Rs L)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Auto-calculated: T&amp;M + Fixed-Bid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4.3 Salary Budget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Finance enters total planned monthly salary cost per category. Values can vary month-to-month to reflect planned increments, new hire ramp-up, or attrition assumptions.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Billable Staff Salaries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monthly gross salary for all billable delivery staff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Bench Staff Salaries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monthly gross salary for bench (delivery, undeployed)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Non-Billable Support Salaries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monthly gross salary for HR, IT, Admin, Finance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Co-Founders Salaries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Combined monthly salary for all co-founders (group total, 4 persons)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Senior Management Salaries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Combined monthly salary for all senior managers (group total, 6 persons)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4.4 Overhead Budget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23 overhead line items across 6 categories. Finance enters planned monthly amount per line. All values in Rs Lakhs.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Line Items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Facilities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Office Rent, Electricity, Housekeeping Material, Internet, Postage and Courier, Printing and Stationery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Cloud, Computer Consumables, Subscription and Software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People and Welfare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Staff Medical Insurance and Reimbursement, Staff Welfare, Recruitment, Screening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Travel and Transport</w:t>
            </w:r>
          </w:p>
        </w:tc>
        <w:tc>
          <w:tcPr>
            <w:tcW w:type="dxa" w:w="7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Travelling Expenses — Domestic, Car Expenses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and Legal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Audit and Statutory Fees, Bank and Credit Card Charges, Credit Card Expenses, Business Insurance, Professional Fees — Consultancy, Professional Fees — SW Dev (Tooling), Professional Fees — Others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Delivery Costs</w:t>
            </w:r>
          </w:p>
        </w:tc>
        <w:tc>
          <w:tcPr>
            <w:tcW w:type="dxa" w:w="7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Training and Upskilling, Prof Fees — SW Dev (Subcontractors)</w:t>
            </w:r>
          </w:p>
        </w:tc>
      </w:tr>
    </w:tbl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5. Actuals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00"/>
      </w:tblGrid>
      <w:tr>
        <w:trPr>
          <w:tblHeader/>
        </w:trPr>
        <w:tc>
          <w:tcPr>
            <w:tcW w:type="dxa" w:w="2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HC Actuals (per category)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People &amp; Payroll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PeriodFinalisedEvent (ADR-022) — @ApplicationModuleListener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Salary Cost Actuals (per category)</w:t>
            </w:r>
          </w:p>
        </w:tc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People &amp; Payroll</w:t>
            </w:r>
          </w:p>
        </w:tc>
        <w:tc>
          <w:tcPr>
            <w:tcW w:type="dxa" w:w="4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PeriodFinalisedEvent — aggregated gross pay by classification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 Actuals (per client)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 module (future)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Placeholder: Finance enters manually until Revenue module is built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Overhead Actuals (per line item)</w:t>
            </w:r>
          </w:p>
        </w:tc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manual entry</w:t>
            </w:r>
          </w:p>
        </w:tc>
        <w:tc>
          <w:tcPr>
            <w:tcW w:type="dxa" w:w="4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enters actual spend per overhead line each month</w:t>
            </w:r>
          </w:p>
        </w:tc>
      </w:tr>
    </w:tbl>
    <w:p>
      <w:pPr>
        <w:pBdr>
          <w:left w:val="single" w:color="f68c45" w:sz="18" w:space="8"/>
        </w:pBdr>
        <w:shd w:fill="f7f6f4" w:val="clear"/>
        <w:spacing w:after="160" w:before="60"/>
      </w:pPr>
      <w:r>
        <w:rPr>
          <w:rFonts w:ascii="Lato" w:cs="Lato" w:eastAsia="Lato" w:hAnsi="Lato"/>
          <w:i/>
          <w:iCs/>
          <w:color w:val="555555"/>
          <w:sz w:val="20"/>
          <w:szCs w:val="20"/>
        </w:rPr>
        <w:t xml:space="preserve">PeriodFinalisedEvent carries: HC counts by classification, gross pay totals by classification, and per-BU billable HC and salary cost. Budgeting &amp; Forecasting stores these in its own period_actuals table — a copy, not a live query. This follows ADR-022's rationale: independence after the event, no ongoing runtime dependency on People &amp; Payroll.</w:t>
      </w:r>
    </w:p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6. Calculated Outputs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6.1 Rolling Forecast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Computed on demand, not stored. For each month: if a finalised People &amp; Payroll period exists, use actuals from period_actuals; otherwise use the current ACTIVE Normal forecast version's plan inputs. Revenue follows the same pattern (Zoho Books when available, current plan otherwise). Rolling Forecast is always the most current full-year picture.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6.2 Delta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Delta = Rolling Forecast − current ACTIVE Normal Baseline, per month per dimension. Negative Delta = tracking below plan (bad for Revenue, good for Costs). Positive Delta = tracking above plan (good for Revenue, bad for Costs). Always computed against the current ACTIVE Normal version.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6.3 Financial Lines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Revenue Plan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Sum of Planned T&amp;M + Planned Fixed-Bid across all clients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Salary Cost Plan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Sum of all five Salary Budget categories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Statutory Benefits Plan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13% × Total Salary Cost Plan (employer PF + health insurance)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Variable Pay Plan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10% of Senior Staff + Leadership annual CTC, paid quarterly (Jun/Sep/Dec/Mar)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COGS Plan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Billable + Bench Salaries + Delivery Cost overhead lines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Profit Plan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Revenue − Total COGS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Margin % Plan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Profit ÷ Total Revenue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OpEx Plan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Support + Leadership Salaries + Statutory Benefits + Variable Pay + Non-Delivery Overheads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EBITDA Plan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Profit − Total OpEx</w:t>
            </w:r>
          </w:p>
        </w:tc>
      </w:tr>
      <w:tr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EBITDA Margin % Plan</w:t>
            </w:r>
          </w:p>
        </w:tc>
        <w:tc>
          <w:tcPr>
            <w:tcW w:type="dxa" w:w="6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EBITDA ÷ Total Revenue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Margin per Client Plan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Client Revenue Plan − Allocated Salary Cost (Finance inputs per BUMetrics pattern)</w:t>
            </w:r>
          </w:p>
        </w:tc>
      </w:tr>
    </w:tbl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7. Plan vs Actual Tracking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primary output. For each dimension, three columns per month: Plan / Actual / Variance (Rs L and %). For Revenue and Gross Margin: positive variance = good. For Costs: negative variance = good (under-spend).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00"/>
      </w:tblGrid>
      <w:tr>
        <w:trPr>
          <w:tblHeader/>
        </w:trPr>
        <w:tc>
          <w:tcPr>
            <w:tcW w:type="dxa" w:w="2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Plan Source</w:t>
            </w:r>
          </w:p>
        </w:tc>
        <w:tc>
          <w:tcPr>
            <w:tcW w:type="dxa" w:w="2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Actual Source</w:t>
            </w:r>
          </w:p>
        </w:tc>
        <w:tc>
          <w:tcPr>
            <w:tcW w:type="dxa" w:w="3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 (per client + total)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Client Revenue Plan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 module / manual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− Plan</w:t>
            </w:r>
          </w:p>
        </w:tc>
      </w:tr>
      <w:tr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HC (per category)</w:t>
            </w:r>
          </w:p>
        </w:tc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HC Plan inputs</w:t>
            </w:r>
          </w:p>
        </w:tc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PeriodFinalisedEvent</w:t>
            </w:r>
          </w:p>
        </w:tc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− Plan (persons)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Billable Ratio 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Planned HC ratio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HC ratio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% − Plan %</w:t>
            </w:r>
          </w:p>
        </w:tc>
      </w:tr>
      <w:tr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Salary Cost (per category)</w:t>
            </w:r>
          </w:p>
        </w:tc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Salary Budget</w:t>
            </w:r>
          </w:p>
        </w:tc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PeriodFinalisedEvent</w:t>
            </w:r>
          </w:p>
        </w:tc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− Plan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Overhead (per line item)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Overhead Budget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manual entry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− Plan</w:t>
            </w:r>
          </w:p>
        </w:tc>
      </w:tr>
      <w:tr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Margin (per client)</w:t>
            </w:r>
          </w:p>
        </w:tc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 − Allocated Cost</w:t>
            </w:r>
          </w:p>
        </w:tc>
        <w:tc>
          <w:tcPr>
            <w:tcW w:type="dxa" w:w="2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Revenue − Actual Cost</w:t>
            </w:r>
          </w:p>
        </w:tc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− Plan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EBITDA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Profit − OpEx (plan)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Gross Profit − Actual OpEx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 − Plan</w:t>
            </w:r>
          </w:p>
        </w:tc>
      </w:tr>
    </w:tbl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8. General Settings Additions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00"/>
      </w:tblGrid>
      <w:tr>
        <w:trPr>
          <w:tblHeader/>
        </w:trPr>
        <w:tc>
          <w:tcPr>
            <w:tcW w:type="dxa" w:w="28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8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Working Days per Month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Standard working days used for billing calculations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Annual Attrition Rate (planned)</w:t>
            </w:r>
          </w:p>
        </w:tc>
        <w:tc>
          <w:tcPr>
            <w:tcW w:type="dxa" w:w="3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Expected attrition % per year for HC movement</w:t>
            </w:r>
          </w:p>
        </w:tc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Target Billable Ratio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FY exit target for billable ratio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Opening HC per Financial Year</w:t>
            </w:r>
          </w:p>
        </w:tc>
        <w:tc>
          <w:tcPr>
            <w:tcW w:type="dxa" w:w="3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headcount on April 1 of the financial year</w:t>
            </w:r>
          </w:p>
        </w:tc>
        <w:tc>
          <w:tcPr>
            <w:tcW w:type="dxa" w:w="3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enters at AOP creation</w:t>
            </w:r>
          </w:p>
        </w:tc>
      </w:tr>
    </w:tbl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9. BU Analysis &amp; Profitability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The BU Metrics sub-section in Budgeting &amp; Forecasting shows per-BU aggregated figures for each period, derived from PeriodFinalisedEvent actuals and Client Revenue Plan inputs. The employee-level drill-down links to People &amp; Payroll Master Data (filtered by BU and period) rather than duplicating employee records in this module — consistent with ADR-008's cross-module boundary rule.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9.1 Per-BU Aggregated Metrics (Plan vs Actual)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00"/>
      </w:tblGrid>
      <w:tr>
        <w:trPr>
          <w:tblHeader/>
        </w:trPr>
        <w:tc>
          <w:tcPr>
            <w:tcW w:type="dxa" w:w="2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4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Client Revenue Plan (plan) / Revenue module (actual)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 external client BU only — internal BUs have no revenue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Salary Cost</w:t>
            </w:r>
          </w:p>
        </w:tc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PeriodFinalisedEvent per-BU salary aggregates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gross pay of all employees in that BU for the period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Margin (Rs 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 − Salary Cost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 vs Actual vs Variance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Gross Margin ÷ Revenue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 vs Actual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Average Salary Cost per Head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BU Gross Pay ÷ BU Headcount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Indicates average cost of a resource in this BU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Billable HC</w:t>
            </w:r>
          </w:p>
        </w:tc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PeriodFinalisedEvent per-BU billable HC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 vs Actual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9.2 Employee-Level Drill-Down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Clicking any BU row in the BU Metrics view navigates to People &amp; Payroll → Master Data, pre-filtered by that BU and period. This shows individual employee salary costs, classification flags, reconciliation status, and data quality flags for that BU without duplicating any data in this module. A 'Back to BU Metrics' breadcrumb returns Finance to the Budgeting &amp; Forecasting context.</w:t>
      </w:r>
    </w:p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10. Cost per Employee (Margin Baseline)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 layered cost-per-employee analysis using Full Absorption Costing (Model 1) — all costs are ultimately allocated to billable employees, giving Finance the true loaded cost per billable head for client rate negotiation. The formula: 'I need to bill at least this much per person per month to break even; my target margin is X% above this.'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Separate cost-per-head figures are produced for each employee category (Billable, Bench, Support, Leadership). Shared overhead is allocated to billable employees only — they are the revenue generators funding all fixed costs.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10.1 Cost per Billable Employee (the primary negotiation baseline)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00"/>
      </w:tblGrid>
      <w:tr>
        <w:trPr>
          <w:tblHeader/>
        </w:trPr>
        <w:tc>
          <w:tcPr>
            <w:tcW w:type="dxa" w:w="24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Layer 1 — Direct Salary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Avg Gross Pay per billable head + Statutory Benefits (13% — PF + health)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From Salary Budget ÷ Billable HC (plan) or PeriodFinalisedEvent actuals ÷ actual billable HC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Layer 2 — Direct Overhead</w:t>
            </w:r>
          </w:p>
        </w:tc>
        <w:tc>
          <w:tcPr>
            <w:tcW w:type="dxa" w:w="3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Staff Medical Insurance, Staff Welfare, Computer Consumables, Subscription &amp; Software, Training &amp; Upskilling</w:t>
            </w:r>
          </w:p>
        </w:tc>
        <w:tc>
          <w:tcPr>
            <w:tcW w:type="dxa" w:w="4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Per-head costs: total overhead line ÷ total HC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Layer 3 — Allocated Shared Overhead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Office Rent, Electricity, Housekeeping, Internet, all other fixed overhead lines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fixed overhead ÷ billable HC only (full absorption — billable employees absorb all shared costs)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Cost per Billable Head</w:t>
            </w:r>
          </w:p>
        </w:tc>
        <w:tc>
          <w:tcPr>
            <w:tcW w:type="dxa" w:w="3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Layer 1 + Layer 2 + Layer 3</w:t>
            </w:r>
          </w:p>
        </w:tc>
        <w:tc>
          <w:tcPr>
            <w:tcW w:type="dxa" w:w="4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The minimum billing rate to break even. Add target margin % = minimum client billing rate.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10.2 Cost per Bench, Support, Leadership Employee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00"/>
      </w:tblGrid>
      <w:tr>
        <w:trPr>
          <w:tblHeader/>
        </w:trPr>
        <w:tc>
          <w:tcPr>
            <w:tcW w:type="dxa" w:w="2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Layers Included</w:t>
            </w:r>
          </w:p>
        </w:tc>
        <w:tc>
          <w:tcPr>
            <w:tcW w:type="dxa" w:w="44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Bench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Layer 1 (salary + statutory) + Layer 2 (direct overhead)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No Layer 3 — bench employees do not absorb shared overhead in this model</w:t>
            </w:r>
          </w:p>
        </w:tc>
      </w:tr>
      <w:tr>
        <w:tc>
          <w:tcPr>
            <w:tcW w:type="dxa" w:w="2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Support</w:t>
            </w:r>
          </w:p>
        </w:tc>
        <w:tc>
          <w:tcPr>
            <w:tcW w:type="dxa" w:w="3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Layer 1 (salary + statutory) + Layer 2 (direct overhead)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No Layer 3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Leadership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Layer 1 (salary + statutory + variable pay) + Layer 2 (direct overhead)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No Layer 3</w:t>
            </w:r>
          </w:p>
        </w:tc>
      </w:tr>
    </w:tbl>
    <w:p>
      <w:pPr>
        <w:pBdr>
          <w:left w:val="single" w:color="f68c45" w:sz="18" w:space="8"/>
        </w:pBdr>
        <w:shd w:fill="f7f6f4" w:val="clear"/>
        <w:spacing w:after="160" w:before="60"/>
      </w:pPr>
      <w:r>
        <w:rPr>
          <w:rFonts w:ascii="Lato" w:cs="Lato" w:eastAsia="Lato" w:hAnsi="Lato"/>
          <w:i/>
          <w:iCs/>
          <w:color w:val="555555"/>
          <w:sz w:val="20"/>
          <w:szCs w:val="20"/>
        </w:rPr>
        <w:t xml:space="preserve">Variable Pay is included in Leadership Layer 1 (10% CTC quarterly) and allocated pro-rata across months. For Bench and Support, variable pay is minimal and included only if the Overhead Budget carries a variable pay line for those categories.</w:t>
      </w:r>
    </w:p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10.3 UI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 dedicated 'Cost per Employee' sub-section in Budgeting &amp; Forecasting. Period selector at top. Four category tabs (Billable, Bench, Support, Leadership). Each tab shows: the three layers broken out with Rs L per head per month values, a total row, and a Plan vs Actual comparison (plan uses Salary Budget inputs; actual uses PeriodFinalisedEvent salary + manually-entered overhead actuals). For Billable: an additional 'Minimum Billing Rate' row showing Layer 1 + 2 + 3 total, and a 'Target Billing Rate' field where Finance can enter their target margin % to see the resulting rate — useful for rate card validation.</w:t>
      </w:r>
    </w:p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11. Navigation &amp; UI Structure (ADR-021)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 ADR-021 (domain-first navigation), Budgeting &amp; Forecasting is a top-level nav section. The analysis view is a single scrollable Dashboard (Option A) — not separate sub-sections per view. Plan Setup and Scenario Comparison remain as separate pages since they are data entry / comparison workflows, not analysis views.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Sub-section</w:t>
            </w:r>
          </w:p>
        </w:tc>
        <w:tc>
          <w:tcPr>
            <w:tcW w:type="dxa" w:w="7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Single scrollable analysis page with 9 panels. Period selector + forecast type selector at top. Default: current period, Normal forecast.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 Setup</w:t>
            </w:r>
          </w:p>
        </w:tc>
        <w:tc>
          <w:tcPr>
            <w:tcW w:type="dxa" w:w="7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Data entry workflow — create/edit financial year plan, manage forecast types and versions, enter HC / Revenue / Salary / Overhead plan inputs per forecast version.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Scenario Comparison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Compare any two forecast types side by side for any dimension. Separate page — needs its own side-by-side layout.</w:t>
            </w:r>
          </w:p>
        </w:tc>
      </w:tr>
    </w:tbl>
    <w:p>
      <w:pPr>
        <w:spacing w:after="100" w:before="200"/>
      </w:pPr>
      <w:r>
        <w:rPr>
          <w:rFonts w:ascii="Montserrat" w:cs="Montserrat" w:eastAsia="Montserrat" w:hAnsi="Montserrat"/>
          <w:b/>
          <w:bCs/>
          <w:color w:val="2a2a2a"/>
          <w:sz w:val="21"/>
          <w:szCs w:val="21"/>
        </w:rPr>
        <w:t xml:space="preserve">11.1 Dashboard Panel Order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All panels respond to the top-level period and forecast type selectors. Panel order reflects how Finance naturally reads through the numbers — to be iterated once tested with real data.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72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1. Headline KPIs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Total Revenue (Plan vs Actual vs Delta), EBITDA (Plan vs Actual vs Delta), Billable Ratio (Plan vs Actual) — large Statistic cards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2. Rolling Forecast vs Baseline</w:t>
            </w:r>
          </w:p>
        </w:tc>
        <w:tc>
          <w:tcPr>
            <w:tcW w:type="dxa" w:w="7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 and EBITDA 12-month trend line — actuals shown solid, forecast dashed, baseline as reference line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3. Plan vs Actual — Revenue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 client: T&amp;M + Fixed-Bid, Plan / Actual / Variance Rs L and %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4. Plan vs Actual — HC</w:t>
            </w:r>
          </w:p>
        </w:tc>
        <w:tc>
          <w:tcPr>
            <w:tcW w:type="dxa" w:w="7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 category (Billable / Bench / Support / Leadership / Management): Plan / Actual / Variance persons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5. Plan vs Actual — Costs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Salary per category + Overhead per line item: Plan / Actual / Variance Rs L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6. BU Metrics</w:t>
            </w:r>
          </w:p>
        </w:tc>
        <w:tc>
          <w:tcPr>
            <w:tcW w:type="dxa" w:w="7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 client: Revenue, Salary Cost, Gross Margin, Gross Margin %, Avg Salary per Head — Plan vs Actual. Drill-down link to People &amp; Payroll Master Data per BU.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7. P&amp;L Summary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Revenue → Gross Profit → EBITDA, monthly columns + quarterly totals + FY total, Plan vs Actual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8. Cost per Employee</w:t>
            </w:r>
          </w:p>
        </w:tc>
        <w:tc>
          <w:tcPr>
            <w:tcW w:type="dxa" w:w="72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Four category tabs (Billable / Bench / Support / Leadership). Layered cost breakdown. Billable tab includes Minimum Billing Rate + Target Billing Rate calculator.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9. Delta View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Rolling Forecast − Baseline for all dimensions. Traffic-light color coding: green = above plan for Revenue/Margin, red = below. Reversed for Costs.</w:t>
            </w:r>
          </w:p>
        </w:tc>
      </w:tr>
    </w:tbl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12. Non-Functional Requirements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Indian Financial Year (April–March). All period references use this convention.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Currency</w:t>
            </w:r>
          </w:p>
        </w:tc>
        <w:tc>
          <w:tcPr>
            <w:tcW w:type="dxa" w:w="7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INR Lakhs throughout. USD revenue converted at FX rate from General config (ADR-017). fx_rate_id stored with every conversion record.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SUPERSEDED forecast versions are permanent records — never deleted. ACTIVE version is editable while in DRAFT state.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Every version publish action logged (who, when). Every manual actual entry logged.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Actuals precedence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PeriodFinalisedEvent actuals are authoritative for HC and Salary — Finance cannot manually override them.</w:t>
            </w:r>
          </w:p>
        </w:tc>
      </w:tr>
      <w:tr>
        <w:tc>
          <w:tcPr>
            <w:tcW w:type="dxa" w:w="26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70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Same point-in-time principle as Module 1 §6.1: period_actuals snapshot written at PeriodFinalisedEvent time ensures historical figures are exactly reproducible.</w:t>
            </w:r>
          </w:p>
        </w:tc>
      </w:tr>
    </w:tbl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13. Open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Revenue actuals from Zoho Books — Revenue module not yet specced. Will consume via RevenueActualsEvent (same pattern as PeriodFinalisedEvent) once built. Finance enters manually as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Overhead actuals from Tally Prime — Finance enters manually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Cost per employee — Phase 2 refinement: split overhead allocation by Practice Unit (Data &amp; AI carries higher compute costs than Product Engineering). Not needed for Phase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Tier assignment for T&amp;M revenue calculation — schema and UI deferred to implementation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Hiring cost detailed model (BGV, screening, agency fees per joiner) — deferred.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Employee cost per billable head layered analysis — deferred to a later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Overhead actuals from Tally Prime — Finance enters manually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Tier assignment for T&amp;M revenue calculation — rate card × tier × headcount lives here (planning side). Schema and UI deferred to implementation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Hiring cost detailed model (BGV, screening, agency fees per joiner) — deferred to a later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color w:val="2a2a2a"/>
          <w:sz w:val="22"/>
          <w:szCs w:val="22"/>
        </w:rPr>
        <w:t xml:space="preserve">Employee cost per billable head layered analysis — deferred to a later phase.</w:t>
      </w:r>
    </w:p>
    <w:p>
      <w:pPr>
        <w:pStyle w:val="Heading1"/>
        <w:pBdr>
          <w:bottom w:val="single" w:color="f05756" w:sz="12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232323"/>
          <w:sz w:val="28"/>
          <w:szCs w:val="28"/>
        </w:rPr>
        <w:t xml:space="preserve">14. Key Design Decisions —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00"/>
      </w:tblGrid>
      <w:tr>
        <w:trPr>
          <w:tblHeader/>
        </w:trPr>
        <w:tc>
          <w:tcPr>
            <w:tcW w:type="dxa" w:w="24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Choice Made</w:t>
            </w:r>
          </w:p>
        </w:tc>
        <w:tc>
          <w:tcPr>
            <w:tcW w:type="dxa" w:w="4400"/>
            <w:shd w:fill="2323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Forecast types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NORMAL + AGGRESSIVE + CONSERVATIVE seeded; Finance can add more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Matches Excel Scenarios sheet; extensible without schema change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Baseline definition</w:t>
            </w:r>
          </w:p>
        </w:tc>
        <w:tc>
          <w:tcPr>
            <w:tcW w:type="dxa" w:w="2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Current ACTIVE version of NORMAL forecast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Delta answers 'vs our current plan' — more useful than 'vs April v1 forever' when Finance revises mid-year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Version lifecycle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DRAFT → ACTIVE → SUPERSEDED; one ACTIVE per forecast type at a time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Consistent with SUPERSEDED pattern in People &amp; Payroll (ADR-033)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T&amp;M Revenue Plan</w:t>
            </w:r>
          </w:p>
        </w:tc>
        <w:tc>
          <w:tcPr>
            <w:tcW w:type="dxa" w:w="2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enters manually per client per month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Removes rate card dependency from planning; rate cards are for Revenue actuals reconciliation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Actuals for HC + Salary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PeriodFinalisedEvent from People &amp; Payroll (ADR-022)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Authoritative, automatic, consistent with event-driven pattern already established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Overhead actuals</w:t>
            </w:r>
          </w:p>
        </w:tc>
        <w:tc>
          <w:tcPr>
            <w:tcW w:type="dxa" w:w="2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Finance manual entry for now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Tally Prime integration deferred; Finance already does this in Excel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Planning assumptions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General Settings (ADR-012)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Cross-cutting values not owned by Budgeting alone — FX rate already lives there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Scenario comparison</w:t>
            </w:r>
          </w:p>
        </w:tc>
        <w:tc>
          <w:tcPr>
            <w:tcW w:type="dxa" w:w="2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Any two forecast types compared side by side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More flexible than Excel's fixed Base/Stress/Upside structure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BU employee drill-down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Links to People &amp; Payroll Master Data (Option A — no data duplication)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Consistent with ADR-008 cross-module boundary rule; People &amp; Payroll already has this view</w:t>
            </w:r>
          </w:p>
        </w:tc>
      </w:tr>
      <w:tr>
        <w:tc>
          <w:tcPr>
            <w:tcW w:type="dxa" w:w="2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Cost per employee model</w:t>
            </w:r>
          </w:p>
        </w:tc>
        <w:tc>
          <w:tcPr>
            <w:tcW w:type="dxa" w:w="28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Full Absorption Costing (Model 1) — shared overhead allocated to billable employees only</w:t>
            </w:r>
          </w:p>
        </w:tc>
        <w:tc>
          <w:tcPr>
            <w:tcW w:type="dxa" w:w="4400"/>
            <w:shd w:fill="f7f6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ato" w:cs="Lato" w:eastAsia="Lato" w:hAnsi="Lato"/>
                <w:b w:val="false"/>
                <w:bCs w:val="false"/>
                <w:color w:val="2a2a2a"/>
                <w:sz w:val="20"/>
                <w:szCs w:val="20"/>
              </w:rPr>
              <w:t xml:space="preserve">Standard IT services pricing model; gives the true loaded cost per billable head for rate negotiation. Bench/Support/Leadership carry Layer 1 + 2 only.</w:t>
            </w:r>
          </w:p>
        </w:tc>
      </w:tr>
    </w:tbl>
    <w:p>
      <w:pPr>
        <w:spacing w:before="400"/>
      </w:pPr>
      <w:r>
        <w:rPr>
          <w:rFonts w:ascii="Lato" w:cs="Lato" w:eastAsia="Lato" w:hAnsi="Lato"/>
          <w:i/>
          <w:iCs/>
          <w:color w:val="555555"/>
          <w:sz w:val="18"/>
          <w:szCs w:val="18"/>
        </w:rPr>
        <w:t xml:space="preserve">Prepared by: Vaibhav Natu  |  For: Vaibhav, Co-Founder, Cognologix Technologies  |  July 2026</w:t>
      </w:r>
    </w:p>
    <w:p>
      <w:r>
        <w:rPr>
          <w:rFonts w:ascii="Lato" w:cs="Lato" w:eastAsia="Lato" w:hAnsi="Lato"/>
          <w:i/>
          <w:iCs/>
          <w:color w:val="555555"/>
          <w:sz w:val="18"/>
          <w:szCs w:val="18"/>
        </w:rPr>
        <w:t xml:space="preserve">This document is confidential and intended for internal use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2026-07-15T09:29:31.535Z</dcterms:created>
  <dcterms:modified xsi:type="dcterms:W3CDTF">2026-07-15T09:29:31.548Z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