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40"/>
      </w:pPr>
      <w:r>
        <w:rPr>
          <w:rFonts w:ascii="Arial" w:cs="Arial" w:eastAsia="Arial" w:hAnsi="Arial"/>
          <w:b/>
          <w:bCs/>
          <w:color w:val="1B96FF"/>
          <w:sz w:val="20"/>
          <w:szCs w:val="20"/>
        </w:rPr>
        <w:t xml:space="preserve">AGENTFORCE DEMO STUDIO</w:t>
      </w:r>
    </w:p>
    <w:p>
      <w:pPr>
        <w:pStyle w:val="Title"/>
      </w:pPr>
      <w:r>
        <w:rPr>
          <w:rFonts w:ascii="Arial" w:cs="Arial" w:eastAsia="Arial" w:hAnsi="Arial"/>
          <w:b/>
          <w:bCs/>
          <w:color w:val="032D60"/>
          <w:sz w:val="56"/>
          <w:szCs w:val="56"/>
        </w:rPr>
        <w:t xml:space="preserve">AE Enablement Guide</w:t>
      </w:r>
    </w:p>
    <w:p>
      <w:pPr>
        <w:spacing w:after="0" w:before="80"/>
      </w:pPr>
    </w:p>
    <w:p>
      <w:pPr>
        <w:spacing w:after="200"/>
      </w:pPr>
      <w:r>
        <w:rPr>
          <w:rFonts w:ascii="Arial" w:cs="Arial" w:eastAsia="Arial" w:hAnsi="Arial"/>
          <w:color w:val="444444"/>
          <w:sz w:val="26"/>
          <w:szCs w:val="26"/>
        </w:rPr>
        <w:t xml:space="preserve">Build customer-ready Agentforce demos in minutes — no code, no SE needed.</w:t>
      </w:r>
    </w:p>
    <w:p>
      <w:pPr>
        <w:spacing w:after="0" w:before="200"/>
      </w:pPr>
    </w:p>
    <w:p>
      <w:pPr>
        <w:pBdr>
          <w:bottom w:val="single" w:color="DDDDDD" w:sz="1" w:space="8"/>
        </w:pBdr>
        <w:spacing w:after="200" w:before="200"/>
      </w:pPr>
    </w:p>
    <w:p>
      <w:pPr>
        <w:spacing w:after="60"/>
      </w:pPr>
      <w:r>
        <w:rPr>
          <w:color w:val="999999"/>
          <w:sz w:val="20"/>
          <w:szCs w:val="20"/>
        </w:rPr>
        <w:t xml:space="preserve">Version: </w:t>
      </w:r>
      <w:r>
        <w:rPr>
          <w:b/>
          <w:bCs/>
          <w:color w:val="444444"/>
          <w:sz w:val="20"/>
          <w:szCs w:val="20"/>
        </w:rPr>
        <w:t xml:space="preserve">1.0 — June 2026</w:t>
      </w:r>
    </w:p>
    <w:p>
      <w:pPr>
        <w:spacing w:after="60"/>
      </w:pPr>
      <w:r>
        <w:rPr>
          <w:color w:val="999999"/>
          <w:sz w:val="20"/>
          <w:szCs w:val="20"/>
        </w:rPr>
        <w:t xml:space="preserve">Author: </w:t>
      </w:r>
      <w:r>
        <w:rPr>
          <w:b/>
          <w:bCs/>
          <w:color w:val="444444"/>
          <w:sz w:val="20"/>
          <w:szCs w:val="20"/>
        </w:rPr>
        <w:t xml:space="preserve">Vandana Nayak, Field CTO</w:t>
      </w:r>
    </w:p>
    <w:p>
      <w:pPr>
        <w:spacing w:after="60"/>
      </w:pPr>
      <w:r>
        <w:rPr>
          <w:color w:val="999999"/>
          <w:sz w:val="20"/>
          <w:szCs w:val="20"/>
        </w:rPr>
        <w:t xml:space="preserve">Audience: </w:t>
      </w:r>
      <w:r>
        <w:rPr>
          <w:b/>
          <w:bCs/>
          <w:color w:val="444444"/>
          <w:sz w:val="20"/>
          <w:szCs w:val="20"/>
        </w:rPr>
        <w:t xml:space="preserve">Account Executives (AEs)</w:t>
      </w:r>
    </w:p>
    <w:p>
      <w:pPr>
        <w:spacing w:after="60"/>
      </w:pPr>
      <w:r>
        <w:rPr>
          <w:color w:val="999999"/>
          <w:sz w:val="20"/>
          <w:szCs w:val="20"/>
        </w:rPr>
        <w:t xml:space="preserve">URL: </w:t>
      </w:r>
      <w:hyperlink w:history="1" r:id="rIdlaozncr2_khzgkdbnv8am">
        <w:r>
          <w:rPr>
            <w:rStyle w:val="Hyperlink"/>
            <w:sz w:val="20"/>
            <w:szCs w:val="20"/>
          </w:rPr>
          <w:t xml:space="preserve">vnayak12.github.io/agentforce-factory</w:t>
        </w:r>
      </w:hyperlink>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Pr>
      <w:r>
        <w:t xml:space="preserve">What is the Agentforce Demo Studio?</w:t>
      </w:r>
    </w:p>
    <w:p>
      <w:pPr>
        <w:spacing w:after="160"/>
      </w:pPr>
      <w:r>
        <w:rPr>
          <w:color w:val="444444"/>
          <w:sz w:val="22"/>
          <w:szCs w:val="22"/>
        </w:rPr>
        <w:t xml:space="preserve">The Agentforce Demo Studio is a self-service web tool that lets any AE generate a </w:t>
      </w:r>
      <w:r>
        <w:rPr>
          <w:b/>
          <w:bCs/>
          <w:color w:val="444444"/>
          <w:sz w:val="22"/>
          <w:szCs w:val="22"/>
        </w:rPr>
        <w:t xml:space="preserve">fully branded, customer-specific Agentforce POV page</w:t>
      </w:r>
      <w:r>
        <w:rPr>
          <w:color w:val="444444"/>
          <w:sz w:val="22"/>
          <w:szCs w:val="22"/>
        </w:rPr>
        <w:t xml:space="preserve"> in under 2 minutes. No code. No SE. No waiting.</w:t>
      </w:r>
    </w:p>
    <w:p>
      <w:pPr>
        <w:spacing w:after="120"/>
      </w:pPr>
      <w:r>
        <w:rPr>
          <w:color w:val="444444"/>
          <w:sz w:val="22"/>
          <w:szCs w:val="22"/>
        </w:rPr>
        <w:t xml:space="preserve">You enter an account name and website URL, pick an agent archetype, and the studio instantly generates a polished demo page with the customer’s logo, brand colors, tailored value propositions, ROI metrics, and a live Agentforce agent — ready to share via link.</w:t>
      </w:r>
    </w:p>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BF5FF" w:val="clear"/>
            <w:vAlign w:val="center"/>
          </w:tcPr>
          <w:p>
            <w:pPr>
              <w:spacing w:after="0" w:before="120"/>
              <w:jc w:val="center"/>
            </w:pPr>
            <w:r>
              <w:rPr>
                <w:b/>
                <w:bCs/>
                <w:color w:val="1B96FF"/>
                <w:sz w:val="36"/>
                <w:szCs w:val="36"/>
              </w:rPr>
              <w:t xml:space="preserve">&lt; 2 min</w:t>
            </w:r>
          </w:p>
          <w:p>
            <w:pPr>
              <w:spacing w:after="120" w:before="0"/>
              <w:jc w:val="center"/>
            </w:pPr>
            <w:r>
              <w:rPr>
                <w:color w:val="444444"/>
                <w:sz w:val="18"/>
                <w:szCs w:val="18"/>
              </w:rPr>
              <w:t xml:space="preserve">to generate a demo</w:t>
            </w:r>
          </w:p>
        </w:tc>
        <w:tc>
          <w:tcPr>
            <w:tcW w:type="dxa" w:w="3120"/>
            <w:tcBorders>
              <w:top w:val="single" w:color="CCCCCC" w:sz="1"/>
              <w:left w:val="single" w:color="CCCCCC" w:sz="1"/>
              <w:bottom w:val="single" w:color="CCCCCC" w:sz="1"/>
              <w:right w:val="single" w:color="CCCCCC" w:sz="1"/>
            </w:tcBorders>
            <w:shd w:fill="EBF5FF" w:val="clear"/>
            <w:vAlign w:val="center"/>
          </w:tcPr>
          <w:p>
            <w:pPr>
              <w:spacing w:after="0" w:before="120"/>
              <w:jc w:val="center"/>
            </w:pPr>
            <w:r>
              <w:rPr>
                <w:b/>
                <w:bCs/>
                <w:color w:val="1B96FF"/>
                <w:sz w:val="36"/>
                <w:szCs w:val="36"/>
              </w:rPr>
              <w:t xml:space="preserve">5 Industries</w:t>
            </w:r>
          </w:p>
          <w:p>
            <w:pPr>
              <w:spacing w:after="120" w:before="0"/>
              <w:jc w:val="center"/>
            </w:pPr>
            <w:r>
              <w:rPr>
                <w:color w:val="444444"/>
                <w:sz w:val="18"/>
                <w:szCs w:val="18"/>
              </w:rPr>
              <w:t xml:space="preserve">25+ agent archetypes</w:t>
            </w:r>
          </w:p>
        </w:tc>
        <w:tc>
          <w:tcPr>
            <w:tcW w:type="dxa" w:w="3120"/>
            <w:tcBorders>
              <w:top w:val="single" w:color="CCCCCC" w:sz="1"/>
              <w:left w:val="single" w:color="CCCCCC" w:sz="1"/>
              <w:bottom w:val="single" w:color="CCCCCC" w:sz="1"/>
              <w:right w:val="single" w:color="CCCCCC" w:sz="1"/>
            </w:tcBorders>
            <w:shd w:fill="EBF5FF" w:val="clear"/>
            <w:vAlign w:val="center"/>
          </w:tcPr>
          <w:p>
            <w:pPr>
              <w:spacing w:after="0" w:before="120"/>
              <w:jc w:val="center"/>
            </w:pPr>
            <w:r>
              <w:rPr>
                <w:b/>
                <w:bCs/>
                <w:color w:val="1B96FF"/>
                <w:sz w:val="36"/>
                <w:szCs w:val="36"/>
              </w:rPr>
              <w:t xml:space="preserve">Shareable Link</w:t>
            </w:r>
          </w:p>
          <w:p>
            <w:pPr>
              <w:spacing w:after="120" w:before="0"/>
              <w:jc w:val="center"/>
            </w:pPr>
            <w:r>
              <w:rPr>
                <w:color w:val="444444"/>
                <w:sz w:val="18"/>
                <w:szCs w:val="18"/>
              </w:rPr>
              <w:t xml:space="preserve">send to customer instantly</w:t>
            </w:r>
          </w:p>
        </w:tc>
      </w:tr>
    </w:tbl>
    <w:p>
      <w:pPr>
        <w:spacing w:after="0" w:before="160"/>
      </w:pPr>
    </w:p>
    <w:p>
      <w:pPr>
        <w:pStyle w:val="Heading1"/>
      </w:pPr>
      <w:r>
        <w:t xml:space="preserve">Why Was It Built?</w:t>
      </w:r>
    </w:p>
    <w:p>
      <w:pPr>
        <w:spacing w:after="120"/>
      </w:pPr>
      <w:r>
        <w:rPr>
          <w:color w:val="444444"/>
          <w:sz w:val="22"/>
          <w:szCs w:val="22"/>
        </w:rPr>
        <w:t xml:space="preserve">Every Agentforce demo used to require an SE to build custom slides, configure an org, and schedule a follow-up. That process took days — sometimes weeks — and created a bottleneck.</w:t>
      </w:r>
    </w:p>
    <w:p>
      <w:pPr>
        <w:spacing w:after="160"/>
      </w:pPr>
      <w:r>
        <w:rPr>
          <w:color w:val="444444"/>
          <w:sz w:val="22"/>
          <w:szCs w:val="22"/>
        </w:rPr>
        <w:t xml:space="preserve">The Demo Studio eliminates that bottleneck entirely. It was built so AEs can: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tcPr>
          <w:p>
            <w:pPr>
              <w:jc w:val="center"/>
            </w:pPr>
            <w:r>
              <w:rPr>
                <w:sz w:val="28"/>
                <w:szCs w:val="28"/>
              </w:rPr>
              <w:t xml:space="preserve">⚡</w:t>
            </w:r>
          </w:p>
        </w:tc>
        <w:tc>
          <w:tcPr>
            <w:tcW w:type="dxa" w:w="8160"/>
            <w:tcBorders>
              <w:top w:val="none"/>
              <w:left w:val="none"/>
              <w:bottom w:val="none"/>
              <w:right w:val="none"/>
            </w:tcBorders>
          </w:tcPr>
          <w:p>
            <w:pPr>
              <w:spacing w:after="40"/>
            </w:pPr>
            <w:r>
              <w:rPr>
                <w:b/>
                <w:bCs/>
                <w:color w:val="16325C"/>
                <w:sz w:val="22"/>
                <w:szCs w:val="22"/>
              </w:rPr>
              <w:t xml:space="preserve">Move faster</w:t>
            </w:r>
          </w:p>
          <w:p>
            <w:pPr>
              <w:spacing w:after="100"/>
            </w:pPr>
            <w:r>
              <w:rPr>
                <w:color w:val="444444"/>
                <w:sz w:val="20"/>
                <w:szCs w:val="20"/>
              </w:rPr>
              <w:t xml:space="preserve">Generate a customer-branded demo during or immediately after a discovery call — while the conversation is still warm.</w:t>
            </w:r>
          </w:p>
        </w:tc>
      </w:tr>
      <w:tr>
        <w:tc>
          <w:tcPr>
            <w:tcW w:type="dxa" w:w="1200"/>
            <w:tcBorders>
              <w:top w:val="none"/>
              <w:left w:val="none"/>
              <w:bottom w:val="none"/>
              <w:right w:val="none"/>
            </w:tcBorders>
          </w:tcPr>
          <w:p>
            <w:pPr>
              <w:jc w:val="center"/>
            </w:pPr>
            <w:r>
              <w:rPr>
                <w:sz w:val="28"/>
                <w:szCs w:val="28"/>
              </w:rPr>
              <w:t xml:space="preserve">🎯</w:t>
            </w:r>
          </w:p>
        </w:tc>
        <w:tc>
          <w:tcPr>
            <w:tcW w:type="dxa" w:w="8160"/>
            <w:tcBorders>
              <w:top w:val="none"/>
              <w:left w:val="none"/>
              <w:bottom w:val="none"/>
              <w:right w:val="none"/>
            </w:tcBorders>
          </w:tcPr>
          <w:p>
            <w:pPr>
              <w:spacing w:after="40"/>
            </w:pPr>
            <w:r>
              <w:rPr>
                <w:b/>
                <w:bCs/>
                <w:color w:val="16325C"/>
                <w:sz w:val="22"/>
                <w:szCs w:val="22"/>
              </w:rPr>
              <w:t xml:space="preserve">Show, don’t tell</w:t>
            </w:r>
          </w:p>
          <w:p>
            <w:pPr>
              <w:spacing w:after="100"/>
            </w:pPr>
            <w:r>
              <w:rPr>
                <w:color w:val="444444"/>
                <w:sz w:val="20"/>
                <w:szCs w:val="20"/>
              </w:rPr>
              <w:t xml:space="preserve">Instead of describing Agentforce in a slide deck, hand the customer an interactive page with their own branding and a live agent they can talk to.</w:t>
            </w:r>
          </w:p>
        </w:tc>
      </w:tr>
      <w:tr>
        <w:tc>
          <w:tcPr>
            <w:tcW w:type="dxa" w:w="1200"/>
            <w:tcBorders>
              <w:top w:val="none"/>
              <w:left w:val="none"/>
              <w:bottom w:val="none"/>
              <w:right w:val="none"/>
            </w:tcBorders>
          </w:tcPr>
          <w:p>
            <w:pPr>
              <w:jc w:val="center"/>
            </w:pPr>
            <w:r>
              <w:rPr>
                <w:sz w:val="28"/>
                <w:szCs w:val="28"/>
              </w:rPr>
              <w:t xml:space="preserve">🔗</w:t>
            </w:r>
          </w:p>
        </w:tc>
        <w:tc>
          <w:tcPr>
            <w:tcW w:type="dxa" w:w="8160"/>
            <w:tcBorders>
              <w:top w:val="none"/>
              <w:left w:val="none"/>
              <w:bottom w:val="none"/>
              <w:right w:val="none"/>
            </w:tcBorders>
          </w:tcPr>
          <w:p>
            <w:pPr>
              <w:spacing w:after="40"/>
            </w:pPr>
            <w:r>
              <w:rPr>
                <w:b/>
                <w:bCs/>
                <w:color w:val="16325C"/>
                <w:sz w:val="22"/>
                <w:szCs w:val="22"/>
              </w:rPr>
              <w:t xml:space="preserve">Share instantly</w:t>
            </w:r>
          </w:p>
          <w:p>
            <w:pPr>
              <w:spacing w:after="100"/>
            </w:pPr>
            <w:r>
              <w:rPr>
                <w:color w:val="444444"/>
                <w:sz w:val="20"/>
                <w:szCs w:val="20"/>
              </w:rPr>
              <w:t xml:space="preserve">Every demo generates a permanent shareable URL. Send it in a follow-up email, drop it in Slack, or paste it into Quip — the customer can explore on their own time.</w:t>
            </w:r>
          </w:p>
        </w:tc>
      </w:tr>
      <w:tr>
        <w:tc>
          <w:tcPr>
            <w:tcW w:type="dxa" w:w="1200"/>
            <w:tcBorders>
              <w:top w:val="none"/>
              <w:left w:val="none"/>
              <w:bottom w:val="none"/>
              <w:right w:val="none"/>
            </w:tcBorders>
          </w:tcPr>
          <w:p>
            <w:pPr>
              <w:jc w:val="center"/>
            </w:pPr>
            <w:r>
              <w:rPr>
                <w:sz w:val="28"/>
                <w:szCs w:val="28"/>
              </w:rPr>
              <w:t xml:space="preserve">🚀</w:t>
            </w:r>
          </w:p>
        </w:tc>
        <w:tc>
          <w:tcPr>
            <w:tcW w:type="dxa" w:w="8160"/>
            <w:tcBorders>
              <w:top w:val="none"/>
              <w:left w:val="none"/>
              <w:bottom w:val="none"/>
              <w:right w:val="none"/>
            </w:tcBorders>
          </w:tcPr>
          <w:p>
            <w:pPr>
              <w:spacing w:after="40"/>
            </w:pPr>
            <w:r>
              <w:rPr>
                <w:b/>
                <w:bCs/>
                <w:color w:val="16325C"/>
                <w:sz w:val="22"/>
                <w:szCs w:val="22"/>
              </w:rPr>
              <w:t xml:space="preserve">Free up your SE</w:t>
            </w:r>
          </w:p>
          <w:p>
            <w:pPr>
              <w:spacing w:after="100"/>
            </w:pPr>
            <w:r>
              <w:rPr>
                <w:color w:val="444444"/>
                <w:sz w:val="20"/>
                <w:szCs w:val="20"/>
              </w:rPr>
              <w:t xml:space="preserve">SEs focus on deep-dive architecture workshops and custom builds. The studio handles the first-touch demo so the SE doesn’t have to.</w:t>
            </w:r>
          </w:p>
        </w:tc>
      </w:tr>
    </w:tbl>
    <w:p>
      <w:pPr>
        <w:sectPr>
          <w:headerReference w:type="default" r:id="rId9"/>
          <w:footerReference w:type="default" r:id="rId10"/>
          <w:pgSz w:w="11906" w:h="16838" w:orient="portrait"/>
          <w:pgMar w:top="1440" w:right="1440" w:bottom="1440" w:left="1440" w:header="708" w:footer="708" w:gutter="0"/>
          <w:pgNumType/>
          <w:docGrid w:linePitch="360"/>
        </w:sectPr>
      </w:pPr>
    </w:p>
    <w:p>
      <w:pPr>
        <w:pStyle w:val="Heading1"/>
      </w:pPr>
      <w:r>
        <w:t xml:space="preserve">How to Use It — Step by Step</w:t>
      </w:r>
    </w:p>
    <w:p>
      <w:pPr>
        <w:spacing w:after="160"/>
      </w:pPr>
      <w:r>
        <w:rPr>
          <w:color w:val="444444"/>
          <w:sz w:val="22"/>
          <w:szCs w:val="22"/>
        </w:rPr>
        <w:t xml:space="preserve">The studio lives at </w:t>
      </w:r>
      <w:hyperlink w:history="1" r:id="rIdvgx2xumjtrtz1s-hmcex2">
        <w:r>
          <w:rPr>
            <w:rStyle w:val="Hyperlink"/>
            <w:sz w:val="22"/>
            <w:szCs w:val="22"/>
          </w:rPr>
          <w:t xml:space="preserve">vnayak12.github.io/agentforce-factory</w:t>
        </w:r>
      </w:hyperlink>
      <w:r>
        <w:rPr>
          <w:color w:val="444444"/>
          <w:sz w:val="22"/>
          <w:szCs w:val="22"/>
        </w:rPr>
        <w:t xml:space="preserve">. Open it in any browser — no login required.</w:t>
      </w:r>
    </w:p>
    <w:p>
      <w:pPr>
        <w:pStyle w:val="Heading2"/>
      </w:pPr>
      <w:r>
        <w:t xml:space="preserve">Step 1: Choose Your Role</w:t>
      </w:r>
    </w:p>
    <w:p>
      <w:pPr>
        <w:spacing w:after="120"/>
      </w:pPr>
      <w:r>
        <w:rPr>
          <w:color w:val="444444"/>
          <w:sz w:val="22"/>
          <w:szCs w:val="22"/>
        </w:rPr>
        <w:t xml:space="preserve">You’ll see three role buttons on the home screen. As an AE, click </w:t>
      </w:r>
      <w:r>
        <w:rPr>
          <w:b/>
          <w:bCs/>
          <w:color w:val="16325C"/>
          <w:sz w:val="22"/>
          <w:szCs w:val="22"/>
        </w:rPr>
        <w:t xml:space="preserve">“I’m an AE — Build a customer demo”</w:t>
      </w:r>
      <w:r>
        <w:rPr>
          <w:color w:val="444444"/>
          <w:sz w:val="22"/>
          <w:szCs w:val="22"/>
        </w:rPr>
        <w:t xml:space="preserve">.</w:t>
      </w:r>
    </w:p>
    <w:p>
      <w:pPr>
        <w:spacing w:after="120"/>
      </w:pPr>
      <w:r>
        <w:rPr>
          <w:i/>
          <w:iCs/>
          <w:color w:val="777777"/>
          <w:sz w:val="20"/>
          <w:szCs w:val="20"/>
        </w:rPr>
        <w:t xml:space="preserve">The other roles (Architect and SE) are available for deeper technical demos and discovery frameworks, but as an AE the first button is your primary workflow.</w:t>
      </w:r>
    </w:p>
    <w:p>
      <w:pPr>
        <w:pStyle w:val="Heading2"/>
      </w:pPr>
      <w:r>
        <w:t xml:space="preserve">Step 2: Pick a Subindustry</w:t>
      </w:r>
    </w:p>
    <w:p>
      <w:pPr>
        <w:spacing w:after="120"/>
      </w:pPr>
      <w:r>
        <w:rPr>
          <w:color w:val="444444"/>
          <w:sz w:val="22"/>
          <w:szCs w:val="22"/>
        </w:rPr>
        <w:t xml:space="preserve">Select the customer’s industry. Currently available: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0F7FF" w:val="clear"/>
          </w:tcPr>
          <w:p>
            <w:pPr>
              <w:spacing w:after="80" w:before="80"/>
              <w:jc w:val="center"/>
            </w:pPr>
            <w:r>
              <w:rPr>
                <w:b/>
                <w:bCs/>
                <w:color w:val="16325C"/>
                <w:sz w:val="20"/>
                <w:szCs w:val="20"/>
              </w:rPr>
              <w:t xml:space="preserve">🛍️ Retail</w:t>
            </w:r>
          </w:p>
        </w:tc>
        <w:tc>
          <w:tcPr>
            <w:tcW w:type="dxa" w:w="2340"/>
            <w:tcBorders>
              <w:top w:val="single" w:color="CCCCCC" w:sz="1"/>
              <w:left w:val="single" w:color="CCCCCC" w:sz="1"/>
              <w:bottom w:val="single" w:color="CCCCCC" w:sz="1"/>
              <w:right w:val="single" w:color="CCCCCC" w:sz="1"/>
            </w:tcBorders>
            <w:shd w:fill="F0F7FF" w:val="clear"/>
          </w:tcPr>
          <w:p>
            <w:pPr>
              <w:spacing w:after="80" w:before="80"/>
              <w:jc w:val="center"/>
            </w:pPr>
            <w:r>
              <w:rPr>
                <w:b/>
                <w:bCs/>
                <w:color w:val="16325C"/>
                <w:sz w:val="20"/>
                <w:szCs w:val="20"/>
              </w:rPr>
              <w:t xml:space="preserve">📦 Consumer Goods</w:t>
            </w:r>
          </w:p>
        </w:tc>
        <w:tc>
          <w:tcPr>
            <w:tcW w:type="dxa" w:w="2340"/>
            <w:tcBorders>
              <w:top w:val="single" w:color="CCCCCC" w:sz="1"/>
              <w:left w:val="single" w:color="CCCCCC" w:sz="1"/>
              <w:bottom w:val="single" w:color="CCCCCC" w:sz="1"/>
              <w:right w:val="single" w:color="CCCCCC" w:sz="1"/>
            </w:tcBorders>
            <w:shd w:fill="F0F7FF" w:val="clear"/>
          </w:tcPr>
          <w:p>
            <w:pPr>
              <w:spacing w:after="80" w:before="80"/>
              <w:jc w:val="center"/>
            </w:pPr>
            <w:r>
              <w:rPr>
                <w:b/>
                <w:bCs/>
                <w:color w:val="16325C"/>
                <w:sz w:val="20"/>
                <w:szCs w:val="20"/>
              </w:rPr>
              <w:t xml:space="preserve">🏭 Manufacturing</w:t>
            </w:r>
          </w:p>
        </w:tc>
        <w:tc>
          <w:tcPr>
            <w:tcW w:type="dxa" w:w="2340"/>
            <w:tcBorders>
              <w:top w:val="single" w:color="CCCCCC" w:sz="1"/>
              <w:left w:val="single" w:color="CCCCCC" w:sz="1"/>
              <w:bottom w:val="single" w:color="CCCCCC" w:sz="1"/>
              <w:right w:val="single" w:color="CCCCCC" w:sz="1"/>
            </w:tcBorders>
            <w:shd w:fill="F0F7FF" w:val="clear"/>
          </w:tcPr>
          <w:p>
            <w:pPr>
              <w:spacing w:after="80" w:before="80"/>
              <w:jc w:val="center"/>
            </w:pPr>
            <w:r>
              <w:rPr>
                <w:b/>
                <w:bCs/>
                <w:color w:val="16325C"/>
                <w:sz w:val="20"/>
                <w:szCs w:val="20"/>
              </w:rPr>
              <w:t xml:space="preserve">🚗 Auto  ⚡ Energy</w:t>
            </w:r>
          </w:p>
        </w:tc>
      </w:tr>
    </w:tbl>
    <w:p>
      <w:pPr>
        <w:spacing w:after="0" w:before="40"/>
      </w:pPr>
    </w:p>
    <w:p>
      <w:pPr>
        <w:spacing w:after="120"/>
      </w:pPr>
      <w:r>
        <w:rPr>
          <w:i/>
          <w:iCs/>
          <w:color w:val="777777"/>
          <w:sz w:val="20"/>
          <w:szCs w:val="20"/>
        </w:rPr>
        <w:t xml:space="preserve">Each industry comes with 4–6 pre-built agent archetypes tailored to that vertical.</w:t>
      </w:r>
    </w:p>
    <w:p>
      <w:pPr>
        <w:pStyle w:val="Heading2"/>
      </w:pPr>
      <w:r>
        <w:t xml:space="preserve">Step 3: Fill in the Customer Details</w:t>
      </w:r>
    </w:p>
    <w:p>
      <w:pPr>
        <w:spacing w:after="100"/>
      </w:pPr>
      <w:r>
        <w:rPr>
          <w:color w:val="444444"/>
          <w:sz w:val="22"/>
          <w:szCs w:val="22"/>
        </w:rPr>
        <w:t xml:space="preserve">You only need three required fields:</w:t>
      </w:r>
    </w:p>
    <w:p>
      <w:pPr>
        <w:pStyle w:val="ListParagraph"/>
        <w:numPr>
          <w:ilvl w:val="0"/>
          <w:numId w:val="2"/>
        </w:numPr>
        <w:spacing w:after="60"/>
      </w:pPr>
      <w:r>
        <w:rPr>
          <w:b/>
          <w:bCs/>
          <w:color w:val="16325C"/>
          <w:sz w:val="22"/>
          <w:szCs w:val="22"/>
        </w:rPr>
        <w:t xml:space="preserve">Account Name</w:t>
      </w:r>
      <w:r>
        <w:rPr>
          <w:color w:val="444444"/>
          <w:sz w:val="22"/>
          <w:szCs w:val="22"/>
        </w:rPr>
        <w:t xml:space="preserve"> — the customer’s company name (e.g., Nordstrom, Tesla)</w:t>
      </w:r>
    </w:p>
    <w:p>
      <w:pPr>
        <w:pStyle w:val="ListParagraph"/>
        <w:numPr>
          <w:ilvl w:val="0"/>
          <w:numId w:val="2"/>
        </w:numPr>
        <w:spacing w:after="60"/>
      </w:pPr>
      <w:r>
        <w:rPr>
          <w:b/>
          <w:bCs/>
          <w:color w:val="16325C"/>
          <w:sz w:val="22"/>
          <w:szCs w:val="22"/>
        </w:rPr>
        <w:t xml:space="preserve">Website URL</w:t>
      </w:r>
      <w:r>
        <w:rPr>
          <w:color w:val="444444"/>
          <w:sz w:val="22"/>
          <w:szCs w:val="22"/>
        </w:rPr>
        <w:t xml:space="preserve"> — the studio auto-extracts their logo and brand colors from this</w:t>
      </w:r>
    </w:p>
    <w:p>
      <w:pPr>
        <w:pStyle w:val="ListParagraph"/>
        <w:numPr>
          <w:ilvl w:val="0"/>
          <w:numId w:val="2"/>
        </w:numPr>
        <w:spacing w:after="100"/>
      </w:pPr>
      <w:r>
        <w:rPr>
          <w:b/>
          <w:bCs/>
          <w:color w:val="16325C"/>
          <w:sz w:val="22"/>
          <w:szCs w:val="22"/>
        </w:rPr>
        <w:t xml:space="preserve">Your Name</w:t>
      </w:r>
      <w:r>
        <w:rPr>
          <w:color w:val="444444"/>
          <w:sz w:val="22"/>
          <w:szCs w:val="22"/>
        </w:rPr>
        <w:t xml:space="preserve"> — shown on the POV page as the contact</w:t>
      </w:r>
    </w:p>
    <w:p>
      <w:pPr>
        <w:spacing w:after="120"/>
      </w:pPr>
      <w:r>
        <w:rPr>
          <w:color w:val="444444"/>
          <w:sz w:val="22"/>
          <w:szCs w:val="22"/>
        </w:rPr>
        <w:t xml:space="preserve">Then select an </w:t>
      </w:r>
      <w:r>
        <w:rPr>
          <w:b/>
          <w:bCs/>
          <w:color w:val="16325C"/>
          <w:sz w:val="22"/>
          <w:szCs w:val="22"/>
        </w:rPr>
        <w:t xml:space="preserve">Agent Archetype</w:t>
      </w:r>
      <w:r>
        <w:rPr>
          <w:color w:val="444444"/>
          <w:sz w:val="22"/>
          <w:szCs w:val="22"/>
        </w:rPr>
        <w:t xml:space="preserve"> (e.g., Customer Service Agent, Order &amp; Returns Agent, Sales Agent). This determines the demo’s use-case content, talking points, and ROI metrics.</w:t>
      </w:r>
    </w:p>
    <w:p>
      <w:pPr>
        <w:pStyle w:val="Heading2"/>
      </w:pPr>
      <w:r>
        <w:t xml:space="preserve">Step 4: Add Context (Optional but Powerful)</w:t>
      </w:r>
    </w:p>
    <w:p>
      <w:pPr>
        <w:spacing w:after="120"/>
      </w:pPr>
      <w:r>
        <w:rPr>
          <w:color w:val="444444"/>
          <w:sz w:val="22"/>
          <w:szCs w:val="22"/>
        </w:rPr>
        <w:t xml:space="preserve">Below the required fields, you’ll see an </w:t>
      </w:r>
      <w:r>
        <w:rPr>
          <w:b/>
          <w:bCs/>
          <w:color w:val="16325C"/>
          <w:sz w:val="22"/>
          <w:szCs w:val="22"/>
        </w:rPr>
        <w:t xml:space="preserve">Additional Context</w:t>
      </w:r>
      <w:r>
        <w:rPr>
          <w:color w:val="444444"/>
          <w:sz w:val="22"/>
          <w:szCs w:val="22"/>
        </w:rPr>
        <w:t xml:space="preserve"> section. You can paste Slack notes, account plans, discovery call notes, or upload a document. This context gets fed to the AI to make the demo more personalized.</w:t>
      </w:r>
    </w:p>
    <w:p>
      <w:pPr>
        <w:pStyle w:val="Heading2"/>
      </w:pPr>
      <w:r>
        <w:t xml:space="preserve">Step 5: Click Generate</w:t>
      </w:r>
    </w:p>
    <w:p>
      <w:pPr>
        <w:spacing w:after="120"/>
      </w:pPr>
      <w:r>
        <w:rPr>
          <w:color w:val="444444"/>
          <w:sz w:val="22"/>
          <w:szCs w:val="22"/>
        </w:rPr>
        <w:t xml:space="preserve">Hit </w:t>
      </w:r>
      <w:r>
        <w:rPr>
          <w:b/>
          <w:bCs/>
          <w:color w:val="16325C"/>
          <w:sz w:val="22"/>
          <w:szCs w:val="22"/>
        </w:rPr>
        <w:t xml:space="preserve">“✨ Generate Demo”</w:t>
      </w:r>
      <w:r>
        <w:rPr>
          <w:color w:val="444444"/>
          <w:sz w:val="22"/>
          <w:szCs w:val="22"/>
        </w:rPr>
        <w:t xml:space="preserve"> and wait ~30 seconds. The studio will:</w:t>
      </w:r>
    </w:p>
    <w:p>
      <w:pPr>
        <w:pStyle w:val="ListParagraph"/>
        <w:numPr>
          <w:ilvl w:val="0"/>
          <w:numId w:val="3"/>
        </w:numPr>
        <w:spacing w:after="40"/>
      </w:pPr>
      <w:r>
        <w:rPr>
          <w:color w:val="444444"/>
          <w:sz w:val="22"/>
          <w:szCs w:val="22"/>
        </w:rPr>
        <w:t xml:space="preserve">Pull the customer’s logo from their website</w:t>
      </w:r>
    </w:p>
    <w:p>
      <w:pPr>
        <w:pStyle w:val="ListParagraph"/>
        <w:numPr>
          <w:ilvl w:val="0"/>
          <w:numId w:val="3"/>
        </w:numPr>
        <w:spacing w:after="40"/>
      </w:pPr>
      <w:r>
        <w:rPr>
          <w:color w:val="444444"/>
          <w:sz w:val="22"/>
          <w:szCs w:val="22"/>
        </w:rPr>
        <w:t xml:space="preserve">Extract brand colors and apply them to the page</w:t>
      </w:r>
    </w:p>
    <w:p>
      <w:pPr>
        <w:pStyle w:val="ListParagraph"/>
        <w:numPr>
          <w:ilvl w:val="0"/>
          <w:numId w:val="3"/>
        </w:numPr>
        <w:spacing w:after="40"/>
      </w:pPr>
      <w:r>
        <w:rPr>
          <w:color w:val="444444"/>
          <w:sz w:val="22"/>
          <w:szCs w:val="22"/>
        </w:rPr>
        <w:t xml:space="preserve">Generate personalized value propositions and ROI metrics</w:t>
      </w:r>
    </w:p>
    <w:p>
      <w:pPr>
        <w:pStyle w:val="ListParagraph"/>
        <w:numPr>
          <w:ilvl w:val="0"/>
          <w:numId w:val="3"/>
        </w:numPr>
        <w:spacing w:after="40"/>
      </w:pPr>
      <w:r>
        <w:rPr>
          <w:color w:val="444444"/>
          <w:sz w:val="22"/>
          <w:szCs w:val="22"/>
        </w:rPr>
        <w:t xml:space="preserve">Build an architecture section specific to the use case</w:t>
      </w:r>
    </w:p>
    <w:p>
      <w:pPr>
        <w:pStyle w:val="ListParagraph"/>
        <w:numPr>
          <w:ilvl w:val="0"/>
          <w:numId w:val="3"/>
        </w:numPr>
        <w:spacing w:after="120"/>
      </w:pPr>
      <w:r>
        <w:rPr>
          <w:color w:val="444444"/>
          <w:sz w:val="22"/>
          <w:szCs w:val="22"/>
        </w:rPr>
        <w:t xml:space="preserve">Connect a live Agentforce agent (where available)</w:t>
      </w:r>
    </w:p>
    <w:p>
      <w:pPr>
        <w:spacing w:after="120"/>
      </w:pPr>
      <w:r>
        <w:rPr>
          <w:b/>
          <w:bCs/>
          <w:color w:val="444444"/>
          <w:sz w:val="22"/>
          <w:szCs w:val="22"/>
        </w:rPr>
        <w:t xml:space="preserve">You’ll land on a finished POV page ready to share.</w:t>
      </w:r>
    </w:p>
    <w:p>
      <w:pPr>
        <w:pStyle w:val="Heading2"/>
      </w:pPr>
      <w:r>
        <w:t xml:space="preserve">Step 6: Share It</w:t>
      </w:r>
    </w:p>
    <w:p>
      <w:pPr>
        <w:spacing w:after="120"/>
      </w:pPr>
      <w:r>
        <w:rPr>
          <w:color w:val="444444"/>
          <w:sz w:val="22"/>
          <w:szCs w:val="22"/>
        </w:rPr>
        <w:t xml:space="preserve">Click the </w:t>
      </w:r>
      <w:r>
        <w:rPr>
          <w:b/>
          <w:bCs/>
          <w:color w:val="16325C"/>
          <w:sz w:val="22"/>
          <w:szCs w:val="22"/>
        </w:rPr>
        <w:t xml:space="preserve">📋 Share Link</w:t>
      </w:r>
      <w:r>
        <w:rPr>
          <w:color w:val="444444"/>
          <w:sz w:val="22"/>
          <w:szCs w:val="22"/>
        </w:rPr>
        <w:t xml:space="preserve"> button in the top-right corner. The URL is copied to your clipboard. Paste it into:</w:t>
      </w:r>
    </w:p>
    <w:p>
      <w:pPr>
        <w:pStyle w:val="ListParagraph"/>
        <w:numPr>
          <w:ilvl w:val="0"/>
          <w:numId w:val="4"/>
        </w:numPr>
        <w:spacing w:after="40"/>
      </w:pPr>
      <w:r>
        <w:rPr>
          <w:color w:val="444444"/>
          <w:sz w:val="22"/>
          <w:szCs w:val="22"/>
        </w:rPr>
        <w:t xml:space="preserve">A follow-up email to the customer</w:t>
      </w:r>
    </w:p>
    <w:p>
      <w:pPr>
        <w:pStyle w:val="ListParagraph"/>
        <w:numPr>
          <w:ilvl w:val="0"/>
          <w:numId w:val="4"/>
        </w:numPr>
        <w:spacing w:after="40"/>
      </w:pPr>
      <w:r>
        <w:rPr>
          <w:color w:val="444444"/>
          <w:sz w:val="22"/>
          <w:szCs w:val="22"/>
        </w:rPr>
        <w:t xml:space="preserve">A Slack thread with your SE or manager</w:t>
      </w:r>
    </w:p>
    <w:p>
      <w:pPr>
        <w:pStyle w:val="ListParagraph"/>
        <w:numPr>
          <w:ilvl w:val="0"/>
          <w:numId w:val="4"/>
        </w:numPr>
        <w:spacing w:after="40"/>
      </w:pPr>
      <w:r>
        <w:rPr>
          <w:color w:val="444444"/>
          <w:sz w:val="22"/>
          <w:szCs w:val="22"/>
        </w:rPr>
        <w:t xml:space="preserve">Your Quip account plan</w:t>
      </w:r>
    </w:p>
    <w:p>
      <w:pPr>
        <w:pStyle w:val="ListParagraph"/>
        <w:numPr>
          <w:ilvl w:val="0"/>
          <w:numId w:val="4"/>
        </w:numPr>
        <w:spacing w:after="120"/>
      </w:pPr>
      <w:r>
        <w:rPr>
          <w:color w:val="444444"/>
          <w:sz w:val="22"/>
          <w:szCs w:val="22"/>
        </w:rPr>
        <w:t xml:space="preserve">An Outreach / SalesLoft sequence</w:t>
      </w:r>
    </w:p>
    <w:p>
      <w:pPr>
        <w:spacing w:after="0" w:before="40"/>
      </w:pPr>
    </w:p>
    <w:p>
      <w:pPr>
        <w:spacing w:after="80"/>
      </w:pPr>
      <w:r>
        <w:rPr>
          <w:b/>
          <w:bCs/>
          <w:color w:val="2E844A"/>
          <w:sz w:val="22"/>
          <w:szCs w:val="22"/>
        </w:rPr>
        <w:t xml:space="preserve">💡 Pro Tip: </w:t>
      </w:r>
      <w:r>
        <w:rPr>
          <w:color w:val="444444"/>
          <w:sz w:val="22"/>
          <w:szCs w:val="22"/>
        </w:rPr>
        <w:t xml:space="preserve">Toggle to </w:t>
      </w:r>
      <w:r>
        <w:rPr>
          <w:b/>
          <w:bCs/>
          <w:color w:val="16325C"/>
          <w:sz w:val="22"/>
          <w:szCs w:val="22"/>
        </w:rPr>
        <w:t xml:space="preserve">"Customer" view</w:t>
      </w:r>
      <w:r>
        <w:rPr>
          <w:color w:val="444444"/>
          <w:sz w:val="22"/>
          <w:szCs w:val="22"/>
        </w:rPr>
        <w:t xml:space="preserve"> before sharing. This hides the internal “Back to Studio” link and the Modify button, giving the customer a clean presentation.</w:t>
      </w:r>
    </w:p>
    <w:p>
      <w:pPr>
        <w:sectPr>
          <w:headerReference w:type="default" r:id="rId11"/>
          <w:footerReference w:type="default" r:id="rId12"/>
          <w:pgSz w:w="11906" w:h="16838" w:orient="portrait"/>
          <w:pgMar w:top="1440" w:right="1440" w:bottom="1440" w:left="1440" w:header="708" w:footer="708" w:gutter="0"/>
          <w:pgNumType/>
          <w:docGrid w:linePitch="360"/>
        </w:sectPr>
      </w:pPr>
    </w:p>
    <w:p>
      <w:pPr>
        <w:pStyle w:val="Heading1"/>
      </w:pPr>
      <w:r>
        <w:t xml:space="preserve">What the Customer Sees</w:t>
      </w:r>
    </w:p>
    <w:p>
      <w:pPr>
        <w:spacing w:after="160"/>
      </w:pPr>
      <w:r>
        <w:rPr>
          <w:color w:val="444444"/>
          <w:sz w:val="22"/>
          <w:szCs w:val="22"/>
        </w:rPr>
        <w:t xml:space="preserve">Every generated POV page includes these sections, tailored to the customer: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32D60" w:val="clear"/>
            <w:vAlign w:val="center"/>
          </w:tcPr>
          <w:p>
            <w:pPr>
              <w:spacing w:after="60" w:before="60"/>
              <w:jc w:val="center"/>
            </w:pPr>
            <w:r>
              <w:rPr>
                <w:rFonts w:ascii="Arial" w:cs="Arial" w:eastAsia="Arial" w:hAnsi="Arial"/>
                <w:b/>
                <w:bCs/>
                <w:color w:val="FFFFFF"/>
                <w:sz w:val="20"/>
                <w:szCs w:val="20"/>
              </w:rPr>
              <w:t xml:space="preserve">Section</w:t>
            </w:r>
          </w:p>
        </w:tc>
        <w:tc>
          <w:tcPr>
            <w:tcW w:type="dxa" w:w="6240"/>
            <w:tcBorders>
              <w:top w:val="single" w:color="CCCCCC" w:sz="1"/>
              <w:left w:val="single" w:color="CCCCCC" w:sz="1"/>
              <w:bottom w:val="single" w:color="CCCCCC" w:sz="1"/>
              <w:right w:val="single" w:color="CCCCCC" w:sz="1"/>
            </w:tcBorders>
            <w:shd w:fill="032D60" w:val="clear"/>
            <w:vAlign w:val="center"/>
          </w:tcPr>
          <w:p>
            <w:pPr>
              <w:spacing w:after="60" w:before="60"/>
              <w:jc w:val="center"/>
            </w:pPr>
            <w:r>
              <w:rPr>
                <w:rFonts w:ascii="Arial" w:cs="Arial" w:eastAsia="Arial" w:hAnsi="Arial"/>
                <w:b/>
                <w:bCs/>
                <w:color w:val="FFFFFF"/>
                <w:sz w:val="20"/>
                <w:szCs w:val="20"/>
              </w:rPr>
              <w:t xml:space="preserve">What It Shows</w:t>
            </w:r>
          </w:p>
        </w:tc>
      </w:tr>
      <w:t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color w:val="444444"/>
                <w:sz w:val="20"/>
                <w:szCs w:val="20"/>
              </w:rPr>
              <w:t xml:space="preserve">Hero Banner</w:t>
            </w:r>
          </w:p>
        </w:tc>
        <w:tc>
          <w:tcPr>
            <w:tcW w:type="dxa" w:w="62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444444"/>
                <w:sz w:val="20"/>
                <w:szCs w:val="20"/>
              </w:rPr>
              <w:t xml:space="preserve">Customer logo, brand colors, agent name, and archetype</w:t>
            </w:r>
          </w:p>
        </w:tc>
      </w:tr>
      <w:tr>
        <w:tc>
          <w:tcPr>
            <w:tcW w:type="dxa" w:w="3120"/>
            <w:tcBorders>
              <w:top w:val="single" w:color="CCCCCC" w:sz="1"/>
              <w:left w:val="single" w:color="CCCCCC" w:sz="1"/>
              <w:bottom w:val="single" w:color="CCCCCC" w:sz="1"/>
              <w:right w:val="single" w:color="CCCCCC" w:sz="1"/>
            </w:tcBorders>
            <w:shd w:fill="F3F3F3" w:val="clear"/>
            <w:vAlign w:val="center"/>
          </w:tcPr>
          <w:p>
            <w:pPr>
              <w:spacing w:after="40" w:before="40"/>
            </w:pPr>
            <w:r>
              <w:rPr>
                <w:rFonts w:ascii="Arial" w:cs="Arial" w:eastAsia="Arial" w:hAnsi="Arial"/>
                <w:b/>
                <w:bCs/>
                <w:color w:val="444444"/>
                <w:sz w:val="20"/>
                <w:szCs w:val="20"/>
              </w:rPr>
              <w:t xml:space="preserve">Why Agentforce</w:t>
            </w:r>
          </w:p>
        </w:tc>
        <w:tc>
          <w:tcPr>
            <w:tcW w:type="dxa" w:w="6240"/>
            <w:tcBorders>
              <w:top w:val="single" w:color="CCCCCC" w:sz="1"/>
              <w:left w:val="single" w:color="CCCCCC" w:sz="1"/>
              <w:bottom w:val="single" w:color="CCCCCC" w:sz="1"/>
              <w:right w:val="single" w:color="CCCCCC" w:sz="1"/>
            </w:tcBorders>
            <w:shd w:fill="F3F3F3" w:val="clear"/>
            <w:vAlign w:val="center"/>
          </w:tcPr>
          <w:p>
            <w:pPr>
              <w:spacing w:after="40" w:before="40"/>
            </w:pPr>
            <w:r>
              <w:rPr>
                <w:rFonts w:ascii="Arial" w:cs="Arial" w:eastAsia="Arial" w:hAnsi="Arial"/>
                <w:color w:val="444444"/>
                <w:sz w:val="20"/>
                <w:szCs w:val="20"/>
              </w:rPr>
              <w:t xml:space="preserve">Three personalized value propositions with ROI metrics (e.g., 30% lower costs)</w:t>
            </w:r>
          </w:p>
        </w:tc>
      </w:tr>
      <w:t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color w:val="444444"/>
                <w:sz w:val="20"/>
                <w:szCs w:val="20"/>
              </w:rPr>
              <w:t xml:space="preserve">Differentiators</w:t>
            </w:r>
          </w:p>
        </w:tc>
        <w:tc>
          <w:tcPr>
            <w:tcW w:type="dxa" w:w="62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444444"/>
                <w:sz w:val="20"/>
                <w:szCs w:val="20"/>
              </w:rPr>
              <w:t xml:space="preserve">Four cards: Full Observability, Ease of Use, Self-Service Everywhere, Grounded in Data</w:t>
            </w:r>
          </w:p>
        </w:tc>
      </w:tr>
      <w:tr>
        <w:tc>
          <w:tcPr>
            <w:tcW w:type="dxa" w:w="3120"/>
            <w:tcBorders>
              <w:top w:val="single" w:color="CCCCCC" w:sz="1"/>
              <w:left w:val="single" w:color="CCCCCC" w:sz="1"/>
              <w:bottom w:val="single" w:color="CCCCCC" w:sz="1"/>
              <w:right w:val="single" w:color="CCCCCC" w:sz="1"/>
            </w:tcBorders>
            <w:shd w:fill="F3F3F3" w:val="clear"/>
            <w:vAlign w:val="center"/>
          </w:tcPr>
          <w:p>
            <w:pPr>
              <w:spacing w:after="40" w:before="40"/>
            </w:pPr>
            <w:r>
              <w:rPr>
                <w:rFonts w:ascii="Arial" w:cs="Arial" w:eastAsia="Arial" w:hAnsi="Arial"/>
                <w:b/>
                <w:bCs/>
                <w:color w:val="444444"/>
                <w:sz w:val="20"/>
                <w:szCs w:val="20"/>
              </w:rPr>
              <w:t xml:space="preserve">Industry Agents</w:t>
            </w:r>
          </w:p>
        </w:tc>
        <w:tc>
          <w:tcPr>
            <w:tcW w:type="dxa" w:w="6240"/>
            <w:tcBorders>
              <w:top w:val="single" w:color="CCCCCC" w:sz="1"/>
              <w:left w:val="single" w:color="CCCCCC" w:sz="1"/>
              <w:bottom w:val="single" w:color="CCCCCC" w:sz="1"/>
              <w:right w:val="single" w:color="CCCCCC" w:sz="1"/>
            </w:tcBorders>
            <w:shd w:fill="F3F3F3" w:val="clear"/>
            <w:vAlign w:val="center"/>
          </w:tcPr>
          <w:p>
            <w:pPr>
              <w:spacing w:after="40" w:before="40"/>
            </w:pPr>
            <w:r>
              <w:rPr>
                <w:rFonts w:ascii="Arial" w:cs="Arial" w:eastAsia="Arial" w:hAnsi="Arial"/>
                <w:color w:val="444444"/>
                <w:sz w:val="20"/>
                <w:szCs w:val="20"/>
              </w:rPr>
              <w:t xml:space="preserve">The 3 most relevant agent archetypes for that industry, with descriptions</w:t>
            </w:r>
          </w:p>
        </w:tc>
      </w:tr>
      <w:t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color w:val="444444"/>
                <w:sz w:val="20"/>
                <w:szCs w:val="20"/>
              </w:rPr>
              <w:t xml:space="preserve">Your Use Case</w:t>
            </w:r>
          </w:p>
        </w:tc>
        <w:tc>
          <w:tcPr>
            <w:tcW w:type="dxa" w:w="62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444444"/>
                <w:sz w:val="20"/>
                <w:szCs w:val="20"/>
              </w:rPr>
              <w:t xml:space="preserve">Deep dive into the selected archetype: what it does (5 capabilities) + expected impact (4 metrics)</w:t>
            </w:r>
          </w:p>
        </w:tc>
      </w:tr>
      <w:tr>
        <w:tc>
          <w:tcPr>
            <w:tcW w:type="dxa" w:w="3120"/>
            <w:tcBorders>
              <w:top w:val="single" w:color="CCCCCC" w:sz="1"/>
              <w:left w:val="single" w:color="CCCCCC" w:sz="1"/>
              <w:bottom w:val="single" w:color="CCCCCC" w:sz="1"/>
              <w:right w:val="single" w:color="CCCCCC" w:sz="1"/>
            </w:tcBorders>
            <w:shd w:fill="F3F3F3" w:val="clear"/>
            <w:vAlign w:val="center"/>
          </w:tcPr>
          <w:p>
            <w:pPr>
              <w:spacing w:after="40" w:before="40"/>
            </w:pPr>
            <w:r>
              <w:rPr>
                <w:rFonts w:ascii="Arial" w:cs="Arial" w:eastAsia="Arial" w:hAnsi="Arial"/>
                <w:b/>
                <w:bCs/>
                <w:color w:val="444444"/>
                <w:sz w:val="20"/>
                <w:szCs w:val="20"/>
              </w:rPr>
              <w:t xml:space="preserve">Business Impact</w:t>
            </w:r>
          </w:p>
        </w:tc>
        <w:tc>
          <w:tcPr>
            <w:tcW w:type="dxa" w:w="6240"/>
            <w:tcBorders>
              <w:top w:val="single" w:color="CCCCCC" w:sz="1"/>
              <w:left w:val="single" w:color="CCCCCC" w:sz="1"/>
              <w:bottom w:val="single" w:color="CCCCCC" w:sz="1"/>
              <w:right w:val="single" w:color="CCCCCC" w:sz="1"/>
            </w:tcBorders>
            <w:shd w:fill="F3F3F3" w:val="clear"/>
            <w:vAlign w:val="center"/>
          </w:tcPr>
          <w:p>
            <w:pPr>
              <w:spacing w:after="40" w:before="40"/>
            </w:pPr>
            <w:r>
              <w:rPr>
                <w:rFonts w:ascii="Arial" w:cs="Arial" w:eastAsia="Arial" w:hAnsi="Arial"/>
                <w:color w:val="444444"/>
                <w:sz w:val="20"/>
                <w:szCs w:val="20"/>
              </w:rPr>
              <w:t xml:space="preserve">Three outcome stats (e.g., 40% Case Deflection, 3x Faster Resolution, 90%+ CSAT)</w:t>
            </w:r>
          </w:p>
        </w:tc>
      </w:tr>
      <w:t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color w:val="444444"/>
                <w:sz w:val="20"/>
                <w:szCs w:val="20"/>
              </w:rPr>
              <w:t xml:space="preserve">Agentforce Coworker</w:t>
            </w:r>
          </w:p>
        </w:tc>
        <w:tc>
          <w:tcPr>
            <w:tcW w:type="dxa" w:w="62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444444"/>
                <w:sz w:val="20"/>
                <w:szCs w:val="20"/>
              </w:rPr>
              <w:t xml:space="preserve">Find / Catch Up / Plan &amp; Act — personalized with the customer’s name</w:t>
            </w:r>
          </w:p>
        </w:tc>
      </w:tr>
      <w:tr>
        <w:tc>
          <w:tcPr>
            <w:tcW w:type="dxa" w:w="3120"/>
            <w:tcBorders>
              <w:top w:val="single" w:color="CCCCCC" w:sz="1"/>
              <w:left w:val="single" w:color="CCCCCC" w:sz="1"/>
              <w:bottom w:val="single" w:color="CCCCCC" w:sz="1"/>
              <w:right w:val="single" w:color="CCCCCC" w:sz="1"/>
            </w:tcBorders>
            <w:shd w:fill="F3F3F3" w:val="clear"/>
            <w:vAlign w:val="center"/>
          </w:tcPr>
          <w:p>
            <w:pPr>
              <w:spacing w:after="40" w:before="40"/>
            </w:pPr>
            <w:r>
              <w:rPr>
                <w:rFonts w:ascii="Arial" w:cs="Arial" w:eastAsia="Arial" w:hAnsi="Arial"/>
                <w:b/>
                <w:bCs/>
                <w:color w:val="444444"/>
                <w:sz w:val="20"/>
                <w:szCs w:val="20"/>
              </w:rPr>
              <w:t xml:space="preserve">How It Works</w:t>
            </w:r>
          </w:p>
        </w:tc>
        <w:tc>
          <w:tcPr>
            <w:tcW w:type="dxa" w:w="6240"/>
            <w:tcBorders>
              <w:top w:val="single" w:color="CCCCCC" w:sz="1"/>
              <w:left w:val="single" w:color="CCCCCC" w:sz="1"/>
              <w:bottom w:val="single" w:color="CCCCCC" w:sz="1"/>
              <w:right w:val="single" w:color="CCCCCC" w:sz="1"/>
            </w:tcBorders>
            <w:shd w:fill="F3F3F3" w:val="clear"/>
            <w:vAlign w:val="center"/>
          </w:tcPr>
          <w:p>
            <w:pPr>
              <w:spacing w:after="40" w:before="40"/>
            </w:pPr>
            <w:r>
              <w:rPr>
                <w:rFonts w:ascii="Arial" w:cs="Arial" w:eastAsia="Arial" w:hAnsi="Arial"/>
                <w:color w:val="444444"/>
                <w:sz w:val="20"/>
                <w:szCs w:val="20"/>
              </w:rPr>
              <w:t xml:space="preserve">3-step visual: Connect Data → Configure Agent → Deploy Everywhere</w:t>
            </w:r>
          </w:p>
        </w:tc>
      </w:tr>
      <w:t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color w:val="444444"/>
                <w:sz w:val="20"/>
                <w:szCs w:val="20"/>
              </w:rPr>
              <w:t xml:space="preserve">Next Steps</w:t>
            </w:r>
          </w:p>
        </w:tc>
        <w:tc>
          <w:tcPr>
            <w:tcW w:type="dxa" w:w="62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444444"/>
                <w:sz w:val="20"/>
                <w:szCs w:val="20"/>
              </w:rPr>
              <w:t xml:space="preserve">Clear CTA: Try Live Demo → Discovery Conversation → Schedule Workshop</w:t>
            </w:r>
          </w:p>
        </w:tc>
      </w:tr>
      <w:tr>
        <w:tc>
          <w:tcPr>
            <w:tcW w:type="dxa" w:w="3120"/>
            <w:tcBorders>
              <w:top w:val="single" w:color="CCCCCC" w:sz="1"/>
              <w:left w:val="single" w:color="CCCCCC" w:sz="1"/>
              <w:bottom w:val="single" w:color="CCCCCC" w:sz="1"/>
              <w:right w:val="single" w:color="CCCCCC" w:sz="1"/>
            </w:tcBorders>
            <w:shd w:fill="F3F3F3" w:val="clear"/>
            <w:vAlign w:val="center"/>
          </w:tcPr>
          <w:p>
            <w:pPr>
              <w:spacing w:after="40" w:before="40"/>
            </w:pPr>
            <w:r>
              <w:rPr>
                <w:rFonts w:ascii="Arial" w:cs="Arial" w:eastAsia="Arial" w:hAnsi="Arial"/>
                <w:b/>
                <w:bCs/>
                <w:color w:val="444444"/>
                <w:sz w:val="20"/>
                <w:szCs w:val="20"/>
              </w:rPr>
              <w:t xml:space="preserve">🤖 Live Demo Tab</w:t>
            </w:r>
          </w:p>
        </w:tc>
        <w:tc>
          <w:tcPr>
            <w:tcW w:type="dxa" w:w="6240"/>
            <w:tcBorders>
              <w:top w:val="single" w:color="CCCCCC" w:sz="1"/>
              <w:left w:val="single" w:color="CCCCCC" w:sz="1"/>
              <w:bottom w:val="single" w:color="CCCCCC" w:sz="1"/>
              <w:right w:val="single" w:color="CCCCCC" w:sz="1"/>
            </w:tcBorders>
            <w:shd w:fill="F3F3F3" w:val="clear"/>
            <w:vAlign w:val="center"/>
          </w:tcPr>
          <w:p>
            <w:pPr>
              <w:spacing w:after="40" w:before="40"/>
            </w:pPr>
            <w:r>
              <w:rPr>
                <w:rFonts w:ascii="Arial" w:cs="Arial" w:eastAsia="Arial" w:hAnsi="Arial"/>
                <w:color w:val="444444"/>
                <w:sz w:val="20"/>
                <w:szCs w:val="20"/>
              </w:rPr>
              <w:t xml:space="preserve">Embedded Agentforce agent the customer can chat with in real time (where available)</w:t>
            </w:r>
          </w:p>
        </w:tc>
      </w:tr>
    </w:tbl>
    <w:p>
      <w:pPr>
        <w:spacing w:after="0" w:before="200"/>
      </w:pPr>
    </w:p>
    <w:p>
      <w:pPr>
        <w:pStyle w:val="Heading1"/>
      </w:pPr>
      <w:r>
        <w:t xml:space="preserve">Key Features for AEs</w:t>
      </w:r>
    </w:p>
    <w:p>
      <w:pPr>
        <w:pStyle w:val="Heading3"/>
      </w:pPr>
      <w:r>
        <w:t xml:space="preserve">Internal vs. Customer View</w:t>
      </w:r>
    </w:p>
    <w:p>
      <w:pPr>
        <w:spacing w:after="120"/>
      </w:pPr>
      <w:r>
        <w:rPr>
          <w:color w:val="444444"/>
          <w:sz w:val="22"/>
          <w:szCs w:val="22"/>
        </w:rPr>
        <w:t xml:space="preserve">Every POV page has an </w:t>
      </w:r>
      <w:r>
        <w:rPr>
          <w:b/>
          <w:bCs/>
          <w:color w:val="16325C"/>
          <w:sz w:val="22"/>
          <w:szCs w:val="22"/>
        </w:rPr>
        <w:t xml:space="preserve">Internal / Customer</w:t>
      </w:r>
      <w:r>
        <w:rPr>
          <w:color w:val="444444"/>
          <w:sz w:val="22"/>
          <w:szCs w:val="22"/>
        </w:rPr>
        <w:t xml:space="preserve"> toggle at the top. Internal view shows the “Back to Studio” link and “Modify” button. Customer view hides those for a clean presentation.</w:t>
      </w:r>
    </w:p>
    <w:p>
      <w:pPr>
        <w:pStyle w:val="Heading3"/>
      </w:pPr>
      <w:r>
        <w:t xml:space="preserve">Quick Edit (Modify Button)</w:t>
      </w:r>
    </w:p>
    <w:p>
      <w:pPr>
        <w:spacing w:after="120"/>
      </w:pPr>
      <w:r>
        <w:rPr>
          <w:color w:val="444444"/>
          <w:sz w:val="22"/>
          <w:szCs w:val="22"/>
        </w:rPr>
        <w:t xml:space="preserve">Click “✏️ Modify” at the bottom of any POV page to open a chat-based editor. Tell it what to change in plain English (e.g., “Change the ROI metric from 30% to 45%”) and it will update the page live.</w:t>
      </w:r>
    </w:p>
    <w:p>
      <w:pPr>
        <w:pStyle w:val="Heading3"/>
      </w:pPr>
      <w:r>
        <w:t xml:space="preserve">My Demos</w:t>
      </w:r>
    </w:p>
    <w:p>
      <w:pPr>
        <w:spacing w:after="120"/>
      </w:pPr>
      <w:r>
        <w:rPr>
          <w:color w:val="444444"/>
          <w:sz w:val="22"/>
          <w:szCs w:val="22"/>
        </w:rPr>
        <w:t xml:space="preserve">Your generated demos are saved locally in your browser. Scroll down on the home page to see the “My Demos” section. Click any card to re-open it, or click the ✕ button to remove it.</w:t>
      </w:r>
    </w:p>
    <w:p>
      <w:pPr>
        <w:pStyle w:val="Heading3"/>
      </w:pPr>
      <w:r>
        <w:t xml:space="preserve">Live Agentforce Agents</w:t>
      </w:r>
    </w:p>
    <w:p>
      <w:pPr>
        <w:spacing w:after="120"/>
      </w:pPr>
      <w:r>
        <w:rPr>
          <w:color w:val="444444"/>
          <w:sz w:val="22"/>
          <w:szCs w:val="22"/>
        </w:rPr>
        <w:t xml:space="preserve">Some demos include a “Live Demo” tab with a real Agentforce agent the customer can interact with. The agent is grounded in real data and demonstrates the exact use case shown on the POV page. These are available for select archetypes (Wingstop, Nike, Starbucks, and Constellation demos).</w:t>
      </w:r>
    </w:p>
    <w:p>
      <w:pPr>
        <w:sectPr>
          <w:headerReference w:type="default" r:id="rId13"/>
          <w:footerReference w:type="default" r:id="rId14"/>
          <w:pgSz w:w="11906" w:h="16838" w:orient="portrait"/>
          <w:pgMar w:top="1440" w:right="1440" w:bottom="1440" w:left="1440" w:header="708" w:footer="708" w:gutter="0"/>
          <w:pgNumType/>
          <w:docGrid w:linePitch="360"/>
        </w:sectPr>
      </w:pPr>
    </w:p>
    <w:p>
      <w:pPr>
        <w:pStyle w:val="Heading1"/>
      </w:pPr>
      <w:r>
        <w:t xml:space="preserve">Best Practices</w:t>
      </w:r>
    </w:p>
    <w:p>
      <w:pPr>
        <w:pStyle w:val="ListParagraph"/>
        <w:numPr>
          <w:ilvl w:val="0"/>
          <w:numId w:val="5"/>
        </w:numPr>
        <w:spacing w:after="80"/>
      </w:pPr>
      <w:r>
        <w:rPr>
          <w:b/>
          <w:bCs/>
          <w:color w:val="16325C"/>
          <w:sz w:val="22"/>
          <w:szCs w:val="22"/>
        </w:rPr>
        <w:t xml:space="preserve">Generate during or right after a discovery call</w:t>
      </w:r>
      <w:r>
        <w:rPr>
          <w:color w:val="444444"/>
          <w:sz w:val="22"/>
          <w:szCs w:val="22"/>
        </w:rPr>
        <w:t xml:space="preserve"> — share it within 24 hours while the conversation is fresh.</w:t>
      </w:r>
    </w:p>
    <w:p>
      <w:pPr>
        <w:pStyle w:val="ListParagraph"/>
        <w:numPr>
          <w:ilvl w:val="0"/>
          <w:numId w:val="5"/>
        </w:numPr>
        <w:spacing w:after="80"/>
      </w:pPr>
      <w:r>
        <w:rPr>
          <w:b/>
          <w:bCs/>
          <w:color w:val="16325C"/>
          <w:sz w:val="22"/>
          <w:szCs w:val="22"/>
        </w:rPr>
        <w:t xml:space="preserve">Paste discovery notes into the Additional Context field</w:t>
      </w:r>
      <w:r>
        <w:rPr>
          <w:color w:val="444444"/>
          <w:sz w:val="22"/>
          <w:szCs w:val="22"/>
        </w:rPr>
        <w:t xml:space="preserve"> — even rough notes help the AI generate more relevant content.</w:t>
      </w:r>
    </w:p>
    <w:p>
      <w:pPr>
        <w:pStyle w:val="ListParagraph"/>
        <w:numPr>
          <w:ilvl w:val="0"/>
          <w:numId w:val="5"/>
        </w:numPr>
        <w:spacing w:after="80"/>
      </w:pPr>
      <w:r>
        <w:rPr>
          <w:b/>
          <w:bCs/>
          <w:color w:val="16325C"/>
          <w:sz w:val="22"/>
          <w:szCs w:val="22"/>
        </w:rPr>
        <w:t xml:space="preserve">Switch to Customer view before sharing the link</w:t>
      </w:r>
      <w:r>
        <w:rPr>
          <w:color w:val="444444"/>
          <w:sz w:val="22"/>
          <w:szCs w:val="22"/>
        </w:rPr>
        <w:t xml:space="preserve"> — it hides internal tools and shows a polished experience.</w:t>
      </w:r>
    </w:p>
    <w:p>
      <w:pPr>
        <w:pStyle w:val="ListParagraph"/>
        <w:numPr>
          <w:ilvl w:val="0"/>
          <w:numId w:val="5"/>
        </w:numPr>
        <w:spacing w:after="80"/>
      </w:pPr>
      <w:r>
        <w:rPr>
          <w:b/>
          <w:bCs/>
          <w:color w:val="16325C"/>
          <w:sz w:val="22"/>
          <w:szCs w:val="22"/>
        </w:rPr>
        <w:t xml:space="preserve">Use the Modify button to tweak content</w:t>
      </w:r>
      <w:r>
        <w:rPr>
          <w:color w:val="444444"/>
          <w:sz w:val="22"/>
          <w:szCs w:val="22"/>
        </w:rPr>
        <w:t xml:space="preserve"> — adjust metrics, change wording, or add customer-specific details before sending.</w:t>
      </w:r>
    </w:p>
    <w:p>
      <w:pPr>
        <w:pStyle w:val="ListParagraph"/>
        <w:numPr>
          <w:ilvl w:val="0"/>
          <w:numId w:val="5"/>
        </w:numPr>
        <w:spacing w:after="80"/>
      </w:pPr>
      <w:r>
        <w:rPr>
          <w:b/>
          <w:bCs/>
          <w:color w:val="16325C"/>
          <w:sz w:val="22"/>
          <w:szCs w:val="22"/>
        </w:rPr>
        <w:t xml:space="preserve">Pair with a live example</w:t>
      </w:r>
      <w:r>
        <w:rPr>
          <w:color w:val="444444"/>
          <w:sz w:val="22"/>
          <w:szCs w:val="22"/>
        </w:rPr>
        <w:t xml:space="preserve"> — point the customer to the Wingstop, Nike, or Starbucks demos on the home page as proven references.</w:t>
      </w:r>
    </w:p>
    <w:p>
      <w:pPr>
        <w:pStyle w:val="ListParagraph"/>
        <w:numPr>
          <w:ilvl w:val="0"/>
          <w:numId w:val="5"/>
        </w:numPr>
        <w:spacing w:after="80"/>
      </w:pPr>
      <w:r>
        <w:rPr>
          <w:b/>
          <w:bCs/>
          <w:color w:val="16325C"/>
          <w:sz w:val="22"/>
          <w:szCs w:val="22"/>
        </w:rPr>
        <w:t xml:space="preserve">Follow up with an SE for deep dives</w:t>
      </w:r>
      <w:r>
        <w:rPr>
          <w:color w:val="444444"/>
          <w:sz w:val="22"/>
          <w:szCs w:val="22"/>
        </w:rPr>
        <w:t xml:space="preserve"> — the POV page is a conversation starter. When the customer wants to go deeper, bring in your SE for an architecture workshop.</w:t>
      </w:r>
    </w:p>
    <w:p>
      <w:pPr>
        <w:spacing w:after="0" w:before="120"/>
      </w:pPr>
    </w:p>
    <w:p>
      <w:pPr>
        <w:pStyle w:val="Heading1"/>
      </w:pPr>
      <w:r>
        <w:t xml:space="preserve">Frequently Asked Questions</w:t>
      </w:r>
    </w:p>
    <w:p>
      <w:pPr>
        <w:pStyle w:val="Heading3"/>
      </w:pPr>
      <w:r>
        <w:t xml:space="preserve">Do I need a Salesforce login?</w:t>
      </w:r>
    </w:p>
    <w:p>
      <w:pPr>
        <w:spacing w:after="120"/>
      </w:pPr>
      <w:r>
        <w:rPr>
          <w:color w:val="444444"/>
          <w:sz w:val="22"/>
          <w:szCs w:val="22"/>
        </w:rPr>
        <w:t xml:space="preserve">No. The Demo Studio is a public web page. No authentication required.</w:t>
      </w:r>
    </w:p>
    <w:p>
      <w:pPr>
        <w:pStyle w:val="Heading3"/>
      </w:pPr>
      <w:r>
        <w:t xml:space="preserve">Can the customer see my other demos?</w:t>
      </w:r>
    </w:p>
    <w:p>
      <w:pPr>
        <w:spacing w:after="120"/>
      </w:pPr>
      <w:r>
        <w:rPr>
          <w:color w:val="444444"/>
          <w:sz w:val="22"/>
          <w:szCs w:val="22"/>
        </w:rPr>
        <w:t xml:space="preserve">No. Each demo has a unique URL. The customer only sees the page you share with them. The “My Demos” section is stored locally in your browser and is not visible to anyone else.</w:t>
      </w:r>
    </w:p>
    <w:p>
      <w:pPr>
        <w:pStyle w:val="Heading3"/>
      </w:pPr>
      <w:r>
        <w:t xml:space="preserve">What if the logo or colors don’t look right?</w:t>
      </w:r>
    </w:p>
    <w:p>
      <w:pPr>
        <w:spacing w:after="120"/>
      </w:pPr>
      <w:r>
        <w:rPr>
          <w:color w:val="444444"/>
          <w:sz w:val="22"/>
          <w:szCs w:val="22"/>
        </w:rPr>
        <w:t xml:space="preserve">The studio does its best to extract branding from the website URL. If it looks off, try the customer’s main corporate site (not a subdomain). You can also use the Modify button to ask for specific color changes.</w:t>
      </w:r>
    </w:p>
    <w:p>
      <w:pPr>
        <w:pStyle w:val="Heading3"/>
      </w:pPr>
      <w:r>
        <w:t xml:space="preserve">Can I edit the page after generating it?</w:t>
      </w:r>
    </w:p>
    <w:p>
      <w:pPr>
        <w:spacing w:after="120"/>
      </w:pPr>
      <w:r>
        <w:rPr>
          <w:color w:val="444444"/>
          <w:sz w:val="22"/>
          <w:szCs w:val="22"/>
        </w:rPr>
        <w:t xml:space="preserve">Yes. Click “✏️ Modify” and describe what you want to change in plain English. The AI will update the page live.</w:t>
      </w:r>
    </w:p>
    <w:p>
      <w:pPr>
        <w:pStyle w:val="Heading3"/>
      </w:pPr>
      <w:r>
        <w:t xml:space="preserve">What industries are supported?</w:t>
      </w:r>
    </w:p>
    <w:p>
      <w:pPr>
        <w:spacing w:after="120"/>
      </w:pPr>
      <w:r>
        <w:rPr>
          <w:color w:val="444444"/>
          <w:sz w:val="22"/>
          <w:szCs w:val="22"/>
        </w:rPr>
        <w:t xml:space="preserve">Currently: Retail, Consumer Goods, Manufacturing, Auto, and Energy &amp; Utilities. More verticals are being added regularly.</w:t>
      </w:r>
    </w:p>
    <w:p>
      <w:pPr>
        <w:pStyle w:val="Heading3"/>
      </w:pPr>
      <w:r>
        <w:t xml:space="preserve">Who do I contact for help or feature requests?</w:t>
      </w:r>
    </w:p>
    <w:p>
      <w:pPr>
        <w:spacing w:after="120"/>
      </w:pPr>
      <w:r>
        <w:rPr>
          <w:color w:val="444444"/>
          <w:sz w:val="22"/>
          <w:szCs w:val="22"/>
        </w:rPr>
        <w:t xml:space="preserve">Reach out to </w:t>
      </w:r>
      <w:r>
        <w:rPr>
          <w:b/>
          <w:bCs/>
          <w:color w:val="16325C"/>
          <w:sz w:val="22"/>
          <w:szCs w:val="22"/>
        </w:rPr>
        <w:t xml:space="preserve">Vandana Nayak</w:t>
      </w:r>
      <w:r>
        <w:rPr>
          <w:color w:val="444444"/>
          <w:sz w:val="22"/>
          <w:szCs w:val="22"/>
        </w:rPr>
        <w:t xml:space="preserve"> (Field CTO) via Slack or email for any questions, feedback, or feature requests.</w:t>
      </w:r>
    </w:p>
    <w:p>
      <w:pPr>
        <w:spacing w:after="0" w:before="200"/>
      </w:pPr>
    </w:p>
    <w:p>
      <w:pPr>
        <w:pBdr>
          <w:bottom w:val="single" w:color="DDDDDD" w:sz="1" w:space="8"/>
        </w:pBdr>
        <w:spacing w:after="200" w:before="200"/>
      </w:pPr>
    </w:p>
    <w:p>
      <w:pPr>
        <w:spacing w:after="80" w:before="200"/>
        <w:jc w:val="center"/>
      </w:pPr>
      <w:r>
        <w:rPr>
          <w:b/>
          <w:bCs/>
          <w:color w:val="032D60"/>
          <w:sz w:val="28"/>
          <w:szCs w:val="28"/>
        </w:rPr>
        <w:t xml:space="preserve">Ready to build your first demo?</w:t>
      </w:r>
    </w:p>
    <w:p>
      <w:pPr>
        <w:spacing w:after="80"/>
        <w:jc w:val="center"/>
      </w:pPr>
      <w:hyperlink w:history="1" r:id="rIdzngsing--ampw3uh3hyas">
        <w:r>
          <w:rPr>
            <w:rStyle w:val="Hyperlink"/>
            <w:b/>
            <w:bCs/>
            <w:sz w:val="24"/>
            <w:szCs w:val="24"/>
          </w:rPr>
          <w:t xml:space="preserve">Open the Agentforce Demo Studio →</w:t>
        </w:r>
      </w:hyperlink>
    </w:p>
    <w:p>
      <w:pPr>
        <w:spacing w:after="200"/>
        <w:jc w:val="center"/>
      </w:pPr>
      <w:r>
        <w:rPr>
          <w:i/>
          <w:iCs/>
          <w:color w:val="999999"/>
          <w:sz w:val="20"/>
          <w:szCs w:val="20"/>
        </w:rPr>
        <w:t xml:space="preserve">Build something for your next customer meeting — it takes less than 2 minutes.</w:t>
      </w:r>
    </w:p>
    <w:sectPr>
      <w:headerReference w:type="default" r:id="rId15"/>
      <w:footerReference w:type="default" r:id="rId1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INTERNAL — SALESFORCE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Agentforce Demo Studio — AE Enablement Guide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Agentforce Demo Studio — AE Enablement Guide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Agentforce Demo Studio — AE Enablement Guide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Agentforce Demo Studio — AE Enablement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7"/>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before="0"/>
      <w:jc w:val="left"/>
    </w:pPr>
    <w:rPr>
      <w:rFonts w:ascii="Arial" w:cs="Arial" w:eastAsia="Arial" w:hAnsi="Arial"/>
      <w:b/>
      <w:bCs/>
      <w:color w:val="032D60"/>
      <w:sz w:val="56"/>
      <w:szCs w:val="56"/>
    </w:rPr>
  </w:style>
  <w:style w:type="paragraph" w:styleId="Heading1">
    <w:name w:val="Heading 1"/>
    <w:basedOn w:val="Normal"/>
    <w:next w:val="Normal"/>
    <w:qFormat/>
    <w:pPr>
      <w:spacing w:after="160" w:before="360"/>
      <w:outlineLvl w:val="0"/>
    </w:pPr>
    <w:rPr>
      <w:rFonts w:ascii="Arial" w:cs="Arial" w:eastAsia="Arial" w:hAnsi="Arial"/>
      <w:b/>
      <w:bCs/>
      <w:color w:val="032D6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6325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176D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laozncr2_khzgkdbnv8am" Type="http://schemas.openxmlformats.org/officeDocument/2006/relationships/hyperlink" Target="https://vnayak12.github.io/agentforce-factory/" TargetMode="External"/><Relationship Id="rIdvgx2xumjtrtz1s-hmcex2" Type="http://schemas.openxmlformats.org/officeDocument/2006/relationships/hyperlink" Target="https://vnayak12.github.io/agentforce-factory/" TargetMode="External"/><Relationship Id="rIdzngsing--ampw3uh3hyas" Type="http://schemas.openxmlformats.org/officeDocument/2006/relationships/hyperlink" Target="https://vnayak12.github.io/agentforce-factory/"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2026-06-24T20:36:42.110Z</dcterms:created>
  <dcterms:modified xsi:type="dcterms:W3CDTF">2026-06-24T20:36:42.110Z</dcterms:modified>
</cp:coreProperties>
</file>

<file path=docProps/custom.xml><?xml version="1.0" encoding="utf-8"?>
<Properties xmlns="http://schemas.openxmlformats.org/officeDocument/2006/custom-properties" xmlns:vt="http://schemas.openxmlformats.org/officeDocument/2006/docPropsVTypes"/>
</file>